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宋体" w:eastAsia="方正小标宋简体" w:cs="Times New Roman"/>
          <w:sz w:val="36"/>
          <w:szCs w:val="36"/>
        </w:rPr>
      </w:pPr>
      <w:bookmarkStart w:id="0" w:name="_GoBack"/>
      <w:r>
        <w:rPr>
          <w:rFonts w:hint="eastAsia" w:ascii="方正小标宋简体" w:hAnsi="宋体" w:eastAsia="方正小标宋简体" w:cs="方正小标宋简体"/>
          <w:sz w:val="36"/>
          <w:szCs w:val="36"/>
          <w:lang w:val="en-US" w:eastAsia="zh-CN"/>
        </w:rPr>
        <w:t>2022</w:t>
      </w:r>
      <w:r>
        <w:rPr>
          <w:rFonts w:hint="eastAsia" w:ascii="方正小标宋简体" w:hAnsi="宋体" w:eastAsia="方正小标宋简体" w:cs="方正小标宋简体"/>
          <w:sz w:val="36"/>
          <w:szCs w:val="36"/>
        </w:rPr>
        <w:t>年度院士专家工作等奖励补助项目绩效自评表</w:t>
      </w:r>
    </w:p>
    <w:p>
      <w:pPr>
        <w:rPr>
          <w:rFonts w:cs="Times New Roman"/>
        </w:rPr>
      </w:pPr>
    </w:p>
    <w:p>
      <w:pPr>
        <w:widowControl/>
        <w:jc w:val="left"/>
        <w:rPr>
          <w:rFonts w:hint="default" w:ascii="楷体_GB2312" w:hAnsi="黑体" w:eastAsia="楷体_GB2312" w:cs="Times New Roman"/>
          <w:kern w:val="0"/>
          <w:sz w:val="48"/>
          <w:szCs w:val="48"/>
          <w:lang w:val="en-US" w:eastAsia="zh-CN"/>
        </w:rPr>
      </w:pPr>
      <w:r>
        <w:rPr>
          <w:rFonts w:hint="eastAsia" w:ascii="楷体_GB2312" w:hAnsi="仿宋" w:eastAsia="楷体_GB2312" w:cs="楷体_GB2312"/>
          <w:kern w:val="0"/>
          <w:sz w:val="28"/>
          <w:szCs w:val="28"/>
        </w:rPr>
        <w:t>单位名称：襄阳市科学技术协会</w:t>
      </w:r>
      <w:r>
        <w:rPr>
          <w:rFonts w:ascii="楷体_GB2312" w:hAnsi="仿宋" w:eastAsia="楷体_GB2312" w:cs="楷体_GB2312"/>
          <w:kern w:val="0"/>
          <w:sz w:val="28"/>
          <w:szCs w:val="28"/>
        </w:rPr>
        <w:t xml:space="preserve">     </w:t>
      </w:r>
      <w:r>
        <w:rPr>
          <w:rFonts w:hint="eastAsia" w:ascii="楷体_GB2312" w:hAnsi="仿宋" w:eastAsia="楷体_GB2312" w:cs="楷体_GB2312"/>
          <w:kern w:val="0"/>
          <w:sz w:val="28"/>
          <w:szCs w:val="28"/>
        </w:rPr>
        <w:t>填报日期：</w:t>
      </w:r>
      <w:r>
        <w:rPr>
          <w:rFonts w:hint="eastAsia" w:ascii="楷体_GB2312" w:hAnsi="仿宋" w:eastAsia="楷体_GB2312" w:cs="楷体_GB2312"/>
          <w:kern w:val="0"/>
          <w:sz w:val="28"/>
          <w:szCs w:val="28"/>
          <w:lang w:val="en-US" w:eastAsia="zh-CN"/>
        </w:rPr>
        <w:t>2023年3月21日</w:t>
      </w:r>
    </w:p>
    <w:tbl>
      <w:tblPr>
        <w:tblStyle w:val="18"/>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700"/>
        <w:gridCol w:w="1122"/>
        <w:gridCol w:w="1319"/>
        <w:gridCol w:w="923"/>
        <w:gridCol w:w="394"/>
        <w:gridCol w:w="1466"/>
        <w:gridCol w:w="660"/>
        <w:gridCol w:w="659"/>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28"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项目名称</w:t>
            </w:r>
          </w:p>
        </w:tc>
        <w:tc>
          <w:tcPr>
            <w:tcW w:w="7420" w:type="dxa"/>
            <w:gridSpan w:val="8"/>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人才专项-院士专家工作等奖励补助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28"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主管部门</w:t>
            </w:r>
          </w:p>
        </w:tc>
        <w:tc>
          <w:tcPr>
            <w:tcW w:w="3364" w:type="dxa"/>
            <w:gridSpan w:val="3"/>
            <w:vAlign w:val="center"/>
          </w:tcPr>
          <w:p>
            <w:pPr>
              <w:widowControl/>
              <w:snapToGrid w:val="0"/>
              <w:jc w:val="left"/>
              <w:rPr>
                <w:rFonts w:ascii="仿宋_GB2312" w:hAnsi="宋体" w:eastAsia="仿宋_GB2312" w:cs="Times New Roman"/>
                <w:kern w:val="0"/>
              </w:rPr>
            </w:pPr>
            <w:r>
              <w:rPr>
                <w:rFonts w:hint="eastAsia" w:ascii="仿宋_GB2312" w:hAnsi="宋体" w:eastAsia="仿宋_GB2312" w:cs="Times New Roman"/>
                <w:kern w:val="0"/>
              </w:rPr>
              <w:t>襄阳市科学技术协会</w:t>
            </w:r>
          </w:p>
        </w:tc>
        <w:tc>
          <w:tcPr>
            <w:tcW w:w="2520"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项目实施单位</w:t>
            </w:r>
          </w:p>
        </w:tc>
        <w:tc>
          <w:tcPr>
            <w:tcW w:w="1536"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襄阳市科学技术协会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28"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项目类别</w:t>
            </w:r>
          </w:p>
        </w:tc>
        <w:tc>
          <w:tcPr>
            <w:tcW w:w="7420" w:type="dxa"/>
            <w:gridSpan w:val="8"/>
            <w:vAlign w:val="center"/>
          </w:tcPr>
          <w:p>
            <w:pPr>
              <w:widowControl/>
              <w:snapToGrid w:val="0"/>
              <w:jc w:val="left"/>
              <w:rPr>
                <w:rFonts w:ascii="仿宋_GB2312" w:hAnsi="宋体" w:eastAsia="仿宋_GB2312" w:cs="Times New Roman"/>
                <w:color w:val="auto"/>
                <w:kern w:val="0"/>
              </w:rPr>
            </w:pPr>
            <w:r>
              <w:rPr>
                <w:rFonts w:ascii="仿宋_GB2312" w:hAnsi="宋体" w:eastAsia="仿宋_GB2312" w:cs="仿宋_GB2312"/>
                <w:color w:val="auto"/>
                <w:kern w:val="0"/>
              </w:rPr>
              <w:t>1</w:t>
            </w:r>
            <w:r>
              <w:rPr>
                <w:rFonts w:hint="eastAsia" w:ascii="仿宋_GB2312" w:hAnsi="宋体" w:eastAsia="仿宋_GB2312" w:cs="仿宋_GB2312"/>
                <w:color w:val="auto"/>
                <w:kern w:val="0"/>
              </w:rPr>
              <w:t>、部门预算项目</w:t>
            </w:r>
            <w:r>
              <w:rPr>
                <w:rFonts w:ascii="仿宋_GB2312" w:hAnsi="宋体" w:eastAsia="仿宋_GB2312" w:cs="仿宋_GB2312"/>
                <w:color w:val="auto"/>
                <w:kern w:val="0"/>
              </w:rPr>
              <w:t xml:space="preserve"> </w:t>
            </w:r>
            <w:r>
              <w:rPr>
                <w:rFonts w:hint="eastAsia" w:ascii="仿宋_GB2312" w:hAnsi="宋体" w:eastAsia="仿宋_GB2312" w:cs="仿宋_GB2312"/>
                <w:color w:val="auto"/>
                <w:kern w:val="0"/>
              </w:rPr>
              <w:t>□</w:t>
            </w:r>
            <w:r>
              <w:rPr>
                <w:rFonts w:ascii="仿宋_GB2312" w:hAnsi="宋体" w:eastAsia="仿宋_GB2312" w:cs="仿宋_GB2312"/>
                <w:color w:val="auto"/>
                <w:kern w:val="0"/>
              </w:rPr>
              <w:t xml:space="preserve"> 2</w:t>
            </w:r>
            <w:r>
              <w:rPr>
                <w:rFonts w:hint="eastAsia" w:ascii="仿宋_GB2312" w:hAnsi="宋体" w:eastAsia="仿宋_GB2312" w:cs="仿宋_GB2312"/>
                <w:color w:val="auto"/>
                <w:kern w:val="0"/>
              </w:rPr>
              <w:t>、</w:t>
            </w:r>
            <w:r>
              <w:rPr>
                <w:rFonts w:hint="eastAsia" w:ascii="仿宋_GB2312" w:hAnsi="宋体" w:eastAsia="仿宋_GB2312" w:cs="仿宋_GB2312"/>
                <w:color w:val="auto"/>
                <w:kern w:val="0"/>
                <w:lang w:eastAsia="zh-CN"/>
              </w:rPr>
              <w:t>政府</w:t>
            </w:r>
            <w:r>
              <w:rPr>
                <w:rFonts w:hint="eastAsia" w:ascii="仿宋_GB2312" w:hAnsi="宋体" w:eastAsia="仿宋_GB2312" w:cs="仿宋_GB2312"/>
                <w:color w:val="auto"/>
                <w:kern w:val="0"/>
              </w:rPr>
              <w:t>专项</w:t>
            </w:r>
            <w:r>
              <w:rPr>
                <w:rFonts w:ascii="仿宋_GB2312" w:hAnsi="宋体" w:eastAsia="仿宋_GB2312" w:cs="仿宋_GB2312"/>
                <w:color w:val="auto"/>
                <w:kern w:val="0"/>
              </w:rPr>
              <w:t xml:space="preserve"> </w:t>
            </w:r>
            <w:r>
              <w:rPr>
                <w:rFonts w:hint="eastAsia" w:ascii="仿宋_GB2312" w:hAnsi="宋体" w:eastAsia="仿宋_GB2312" w:cs="仿宋_GB2312"/>
                <w:color w:val="auto"/>
                <w:kern w:val="0"/>
                <w:lang w:eastAsia="zh-CN"/>
              </w:rPr>
              <w:t>☑　</w:t>
            </w:r>
            <w:r>
              <w:rPr>
                <w:rFonts w:ascii="仿宋_GB2312" w:hAnsi="宋体" w:eastAsia="仿宋_GB2312" w:cs="仿宋_GB2312"/>
                <w:color w:val="auto"/>
                <w:kern w:val="0"/>
              </w:rPr>
              <w:t>3</w:t>
            </w:r>
            <w:r>
              <w:rPr>
                <w:rFonts w:hint="eastAsia" w:ascii="仿宋_GB2312" w:hAnsi="宋体" w:eastAsia="仿宋_GB2312" w:cs="仿宋_GB2312"/>
                <w:color w:val="auto"/>
                <w:kern w:val="0"/>
              </w:rPr>
              <w:t>、</w:t>
            </w:r>
            <w:r>
              <w:rPr>
                <w:rFonts w:hint="eastAsia" w:ascii="仿宋_GB2312" w:hAnsi="宋体" w:eastAsia="仿宋_GB2312" w:cs="仿宋_GB2312"/>
                <w:color w:val="auto"/>
                <w:kern w:val="0"/>
                <w:lang w:eastAsia="zh-CN"/>
              </w:rPr>
              <w:t>政府性基金项目</w:t>
            </w:r>
            <w:r>
              <w:rPr>
                <w:rFonts w:ascii="仿宋_GB2312" w:hAnsi="宋体" w:eastAsia="仿宋_GB2312" w:cs="仿宋_GB2312"/>
                <w:color w:val="auto"/>
                <w:kern w:val="0"/>
              </w:rPr>
              <w:t xml:space="preserve"> </w:t>
            </w:r>
            <w:r>
              <w:rPr>
                <w:rFonts w:hint="eastAsia" w:ascii="仿宋_GB2312" w:hAnsi="宋体" w:eastAsia="仿宋_GB2312" w:cs="仿宋_GB2312"/>
                <w:color w:val="auto"/>
                <w:kern w:val="0"/>
              </w:rPr>
              <w:t>□</w:t>
            </w:r>
            <w:r>
              <w:rPr>
                <w:rFonts w:hint="eastAsia" w:ascii="仿宋_GB2312" w:hAnsi="宋体" w:eastAsia="仿宋_GB2312" w:cs="仿宋_GB2312"/>
                <w:color w:val="auto"/>
                <w:kern w:val="0"/>
                <w:lang w:eastAsia="zh-CN"/>
              </w:rPr>
              <w:t>　４、其他</w:t>
            </w:r>
            <w:r>
              <w:rPr>
                <w:rFonts w:ascii="仿宋_GB2312" w:hAnsi="宋体" w:eastAsia="仿宋_GB2312" w:cs="仿宋_GB2312"/>
                <w:color w:val="auto"/>
                <w:kern w:val="0"/>
              </w:rPr>
              <w:t xml:space="preserve"> </w:t>
            </w:r>
            <w:r>
              <w:rPr>
                <w:rFonts w:hint="eastAsia" w:ascii="仿宋_GB2312" w:hAnsi="宋体" w:eastAsia="仿宋_GB2312" w:cs="仿宋_GB2312"/>
                <w:color w:val="auto"/>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28"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项目属性</w:t>
            </w:r>
          </w:p>
        </w:tc>
        <w:tc>
          <w:tcPr>
            <w:tcW w:w="7420" w:type="dxa"/>
            <w:gridSpan w:val="8"/>
            <w:vAlign w:val="center"/>
          </w:tcPr>
          <w:p>
            <w:pPr>
              <w:widowControl/>
              <w:snapToGrid w:val="0"/>
              <w:jc w:val="left"/>
              <w:rPr>
                <w:rFonts w:ascii="仿宋_GB2312" w:hAnsi="宋体" w:eastAsia="仿宋_GB2312" w:cs="仿宋_GB2312"/>
                <w:kern w:val="0"/>
              </w:rPr>
            </w:pPr>
            <w:r>
              <w:rPr>
                <w:rFonts w:ascii="仿宋_GB2312" w:hAnsi="宋体" w:eastAsia="仿宋_GB2312" w:cs="仿宋_GB2312"/>
                <w:kern w:val="0"/>
              </w:rPr>
              <w:t>1</w:t>
            </w:r>
            <w:r>
              <w:rPr>
                <w:rFonts w:hint="eastAsia" w:ascii="仿宋_GB2312" w:hAnsi="宋体" w:eastAsia="仿宋_GB2312" w:cs="仿宋_GB2312"/>
                <w:kern w:val="0"/>
              </w:rPr>
              <w:t>、持续性项目</w:t>
            </w:r>
            <w:r>
              <w:rPr>
                <w:rFonts w:ascii="仿宋_GB2312" w:hAnsi="宋体" w:eastAsia="仿宋_GB2312" w:cs="仿宋_GB2312"/>
                <w:kern w:val="0"/>
              </w:rPr>
              <w:t xml:space="preserve">     </w:t>
            </w:r>
            <w:r>
              <w:rPr>
                <w:rFonts w:hint="eastAsia" w:ascii="仿宋_GB2312" w:hAnsi="宋体" w:eastAsia="仿宋_GB2312" w:cs="仿宋_GB2312"/>
                <w:kern w:val="0"/>
                <w:lang w:eastAsia="zh-CN"/>
              </w:rPr>
              <w:t>☑</w:t>
            </w:r>
            <w:r>
              <w:rPr>
                <w:rFonts w:ascii="仿宋_GB2312" w:hAnsi="宋体" w:eastAsia="仿宋_GB2312" w:cs="仿宋_GB2312"/>
                <w:kern w:val="0"/>
              </w:rPr>
              <w:t xml:space="preserve">   2</w:t>
            </w:r>
            <w:r>
              <w:rPr>
                <w:rFonts w:hint="eastAsia" w:ascii="仿宋_GB2312" w:hAnsi="宋体" w:eastAsia="仿宋_GB2312" w:cs="仿宋_GB2312"/>
                <w:kern w:val="0"/>
              </w:rPr>
              <w:t>、新增性项目</w:t>
            </w:r>
            <w:r>
              <w:rPr>
                <w:rFonts w:ascii="仿宋_GB2312" w:hAnsi="宋体" w:eastAsia="仿宋_GB2312" w:cs="仿宋_GB2312"/>
                <w:kern w:val="0"/>
              </w:rPr>
              <w:t xml:space="preserve"> </w:t>
            </w:r>
            <w:r>
              <w:rPr>
                <w:rFonts w:hint="eastAsia" w:ascii="仿宋_GB2312" w:hAnsi="宋体" w:eastAsia="仿宋_GB2312" w:cs="仿宋_GB2312"/>
                <w:kern w:val="0"/>
              </w:rPr>
              <w:t>□</w:t>
            </w:r>
            <w:r>
              <w:rPr>
                <w:rFonts w:ascii="仿宋_GB2312" w:hAnsi="宋体" w:eastAsia="仿宋_GB2312" w:cs="仿宋_GB2312"/>
                <w:kern w:val="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28"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项目类型</w:t>
            </w:r>
          </w:p>
        </w:tc>
        <w:tc>
          <w:tcPr>
            <w:tcW w:w="7420" w:type="dxa"/>
            <w:gridSpan w:val="8"/>
            <w:vAlign w:val="center"/>
          </w:tcPr>
          <w:p>
            <w:pPr>
              <w:widowControl/>
              <w:snapToGrid w:val="0"/>
              <w:jc w:val="left"/>
              <w:rPr>
                <w:rFonts w:ascii="仿宋_GB2312" w:hAnsi="宋体" w:eastAsia="仿宋_GB2312" w:cs="Times New Roman"/>
                <w:kern w:val="0"/>
              </w:rPr>
            </w:pPr>
            <w:r>
              <w:rPr>
                <w:rFonts w:ascii="仿宋_GB2312" w:hAnsi="宋体" w:eastAsia="仿宋_GB2312" w:cs="仿宋_GB2312"/>
                <w:kern w:val="0"/>
              </w:rPr>
              <w:t>1</w:t>
            </w:r>
            <w:r>
              <w:rPr>
                <w:rFonts w:hint="eastAsia" w:ascii="仿宋_GB2312" w:hAnsi="宋体" w:eastAsia="仿宋_GB2312" w:cs="仿宋_GB2312"/>
                <w:kern w:val="0"/>
              </w:rPr>
              <w:t>、常年性项目</w:t>
            </w:r>
            <w:r>
              <w:rPr>
                <w:rFonts w:ascii="仿宋_GB2312" w:hAnsi="宋体" w:eastAsia="仿宋_GB2312" w:cs="仿宋_GB2312"/>
                <w:kern w:val="0"/>
              </w:rPr>
              <w:t xml:space="preserve">     </w:t>
            </w:r>
            <w:r>
              <w:rPr>
                <w:rFonts w:hint="eastAsia" w:ascii="仿宋_GB2312" w:hAnsi="宋体" w:eastAsia="仿宋_GB2312" w:cs="仿宋_GB2312"/>
                <w:kern w:val="0"/>
                <w:lang w:eastAsia="zh-CN"/>
              </w:rPr>
              <w:t>☑</w:t>
            </w:r>
            <w:r>
              <w:rPr>
                <w:rFonts w:ascii="仿宋_GB2312" w:hAnsi="宋体" w:eastAsia="仿宋_GB2312" w:cs="仿宋_GB2312"/>
                <w:kern w:val="0"/>
              </w:rPr>
              <w:t xml:space="preserve">   2</w:t>
            </w:r>
            <w:r>
              <w:rPr>
                <w:rFonts w:hint="eastAsia" w:ascii="仿宋_GB2312" w:hAnsi="宋体" w:eastAsia="仿宋_GB2312" w:cs="仿宋_GB2312"/>
                <w:kern w:val="0"/>
              </w:rPr>
              <w:t>、延续性项目</w:t>
            </w:r>
            <w:r>
              <w:rPr>
                <w:rFonts w:ascii="仿宋_GB2312" w:hAnsi="宋体" w:eastAsia="仿宋_GB2312" w:cs="仿宋_GB2312"/>
                <w:kern w:val="0"/>
              </w:rPr>
              <w:t xml:space="preserve"> </w:t>
            </w:r>
            <w:r>
              <w:rPr>
                <w:rFonts w:hint="eastAsia" w:ascii="仿宋_GB2312" w:hAnsi="宋体" w:eastAsia="仿宋_GB2312" w:cs="仿宋_GB2312"/>
                <w:kern w:val="0"/>
              </w:rPr>
              <w:t>□</w:t>
            </w:r>
            <w:r>
              <w:rPr>
                <w:rFonts w:ascii="仿宋_GB2312" w:hAnsi="宋体" w:eastAsia="仿宋_GB2312" w:cs="仿宋_GB2312"/>
                <w:kern w:val="0"/>
              </w:rPr>
              <w:t xml:space="preserve">      3</w:t>
            </w:r>
            <w:r>
              <w:rPr>
                <w:rFonts w:hint="eastAsia" w:ascii="仿宋_GB2312" w:hAnsi="宋体" w:eastAsia="仿宋_GB2312" w:cs="仿宋_GB2312"/>
                <w:kern w:val="0"/>
              </w:rPr>
              <w:t>、一次性项目</w:t>
            </w:r>
            <w:r>
              <w:rPr>
                <w:rFonts w:ascii="仿宋_GB2312" w:hAnsi="宋体" w:eastAsia="仿宋_GB2312" w:cs="仿宋_GB2312"/>
                <w:kern w:val="0"/>
              </w:rPr>
              <w:t xml:space="preserve"> </w:t>
            </w:r>
            <w:r>
              <w:rPr>
                <w:rFonts w:hint="eastAsia" w:ascii="仿宋_GB2312" w:hAnsi="宋体" w:eastAsia="仿宋_GB2312" w:cs="仿宋_GB2312"/>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28" w:type="dxa"/>
            <w:gridSpan w:val="2"/>
            <w:vMerge w:val="restart"/>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预算执行情况（万元）</w:t>
            </w:r>
          </w:p>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w:t>
            </w:r>
            <w:r>
              <w:rPr>
                <w:rFonts w:ascii="仿宋_GB2312" w:hAnsi="宋体" w:eastAsia="仿宋_GB2312" w:cs="仿宋_GB2312"/>
                <w:kern w:val="0"/>
              </w:rPr>
              <w:t>20</w:t>
            </w:r>
            <w:r>
              <w:rPr>
                <w:rFonts w:hint="eastAsia" w:ascii="仿宋_GB2312" w:hAnsi="宋体" w:eastAsia="仿宋_GB2312" w:cs="仿宋_GB2312"/>
                <w:kern w:val="0"/>
              </w:rPr>
              <w:t>分）</w:t>
            </w:r>
          </w:p>
        </w:tc>
        <w:tc>
          <w:tcPr>
            <w:tcW w:w="1122" w:type="dxa"/>
            <w:vMerge w:val="restart"/>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年度财政资金总额</w:t>
            </w:r>
          </w:p>
        </w:tc>
        <w:tc>
          <w:tcPr>
            <w:tcW w:w="1319" w:type="dxa"/>
            <w:vAlign w:val="center"/>
          </w:tcPr>
          <w:p>
            <w:pPr>
              <w:widowControl/>
              <w:snapToGrid w:val="0"/>
              <w:jc w:val="center"/>
              <w:rPr>
                <w:rFonts w:ascii="仿宋_GB2312" w:hAnsi="宋体" w:eastAsia="仿宋_GB2312" w:cs="仿宋_GB2312"/>
                <w:kern w:val="0"/>
              </w:rPr>
            </w:pPr>
            <w:r>
              <w:rPr>
                <w:rFonts w:hint="eastAsia" w:ascii="仿宋_GB2312" w:hAnsi="宋体" w:eastAsia="仿宋_GB2312" w:cs="仿宋_GB2312"/>
                <w:kern w:val="0"/>
              </w:rPr>
              <w:t>预算数（</w:t>
            </w:r>
            <w:r>
              <w:rPr>
                <w:rFonts w:ascii="仿宋_GB2312" w:hAnsi="宋体" w:eastAsia="仿宋_GB2312" w:cs="仿宋_GB2312"/>
                <w:kern w:val="0"/>
              </w:rPr>
              <w:t>A）</w:t>
            </w:r>
          </w:p>
        </w:tc>
        <w:tc>
          <w:tcPr>
            <w:tcW w:w="1317" w:type="dxa"/>
            <w:gridSpan w:val="2"/>
            <w:vAlign w:val="center"/>
          </w:tcPr>
          <w:p>
            <w:pPr>
              <w:widowControl/>
              <w:snapToGrid w:val="0"/>
              <w:jc w:val="center"/>
              <w:rPr>
                <w:rFonts w:ascii="仿宋_GB2312" w:hAnsi="宋体" w:eastAsia="仿宋_GB2312" w:cs="仿宋_GB2312"/>
                <w:kern w:val="0"/>
              </w:rPr>
            </w:pPr>
            <w:r>
              <w:rPr>
                <w:rFonts w:hint="eastAsia" w:ascii="仿宋_GB2312" w:hAnsi="宋体" w:eastAsia="仿宋_GB2312" w:cs="仿宋_GB2312"/>
                <w:kern w:val="0"/>
              </w:rPr>
              <w:t>执行数</w:t>
            </w:r>
            <w:r>
              <w:rPr>
                <w:rFonts w:ascii="仿宋_GB2312" w:hAnsi="宋体" w:eastAsia="仿宋_GB2312" w:cs="仿宋_GB2312"/>
                <w:kern w:val="0"/>
              </w:rPr>
              <w:t>（B）</w:t>
            </w:r>
          </w:p>
        </w:tc>
        <w:tc>
          <w:tcPr>
            <w:tcW w:w="1466" w:type="dxa"/>
            <w:vAlign w:val="center"/>
          </w:tcPr>
          <w:p>
            <w:pPr>
              <w:widowControl/>
              <w:snapToGrid w:val="0"/>
              <w:jc w:val="center"/>
              <w:rPr>
                <w:rFonts w:ascii="仿宋_GB2312" w:hAnsi="宋体" w:eastAsia="仿宋_GB2312" w:cs="仿宋_GB2312"/>
                <w:kern w:val="0"/>
              </w:rPr>
            </w:pPr>
            <w:r>
              <w:rPr>
                <w:rFonts w:hint="eastAsia" w:ascii="仿宋_GB2312" w:hAnsi="宋体" w:eastAsia="仿宋_GB2312" w:cs="仿宋_GB2312"/>
                <w:kern w:val="0"/>
              </w:rPr>
              <w:t>执行率</w:t>
            </w:r>
            <w:r>
              <w:rPr>
                <w:rFonts w:ascii="仿宋_GB2312" w:hAnsi="宋体" w:eastAsia="仿宋_GB2312" w:cs="仿宋_GB2312"/>
                <w:kern w:val="0"/>
              </w:rPr>
              <w:t>（B/A）</w:t>
            </w:r>
          </w:p>
        </w:tc>
        <w:tc>
          <w:tcPr>
            <w:tcW w:w="219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得分</w:t>
            </w:r>
          </w:p>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w:t>
            </w:r>
            <w:r>
              <w:rPr>
                <w:rFonts w:ascii="仿宋_GB2312" w:hAnsi="宋体" w:eastAsia="仿宋_GB2312" w:cs="仿宋_GB2312"/>
                <w:kern w:val="0"/>
              </w:rPr>
              <w:t>20</w:t>
            </w:r>
            <w:r>
              <w:rPr>
                <w:rFonts w:hint="eastAsia" w:ascii="仿宋_GB2312" w:hAnsi="宋体" w:eastAsia="仿宋_GB2312" w:cs="仿宋_GB2312"/>
                <w:kern w:val="0"/>
              </w:rPr>
              <w:t>分</w:t>
            </w:r>
            <w:r>
              <w:rPr>
                <w:rFonts w:ascii="仿宋_GB2312" w:hAnsi="宋体" w:eastAsia="仿宋_GB2312" w:cs="仿宋_GB2312"/>
                <w:kern w:val="0"/>
              </w:rPr>
              <w:t>*</w:t>
            </w:r>
            <w:r>
              <w:rPr>
                <w:rFonts w:hint="eastAsia" w:ascii="仿宋_GB2312" w:hAnsi="宋体" w:eastAsia="仿宋_GB2312" w:cs="仿宋_GB2312"/>
                <w:kern w:val="0"/>
              </w:rPr>
              <w:t>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28" w:type="dxa"/>
            <w:gridSpan w:val="2"/>
            <w:vMerge w:val="continue"/>
            <w:vAlign w:val="center"/>
          </w:tcPr>
          <w:p>
            <w:pPr>
              <w:widowControl/>
              <w:snapToGrid w:val="0"/>
              <w:jc w:val="center"/>
              <w:rPr>
                <w:rFonts w:ascii="仿宋_GB2312" w:hAnsi="宋体" w:eastAsia="仿宋_GB2312" w:cs="Times New Roman"/>
                <w:kern w:val="0"/>
              </w:rPr>
            </w:pPr>
          </w:p>
        </w:tc>
        <w:tc>
          <w:tcPr>
            <w:tcW w:w="1122" w:type="dxa"/>
            <w:vMerge w:val="continue"/>
            <w:vAlign w:val="center"/>
          </w:tcPr>
          <w:p>
            <w:pPr>
              <w:widowControl/>
              <w:snapToGrid w:val="0"/>
              <w:jc w:val="center"/>
              <w:rPr>
                <w:rFonts w:ascii="仿宋_GB2312" w:hAnsi="宋体" w:eastAsia="仿宋_GB2312" w:cs="Times New Roman"/>
                <w:kern w:val="0"/>
              </w:rPr>
            </w:pPr>
          </w:p>
        </w:tc>
        <w:tc>
          <w:tcPr>
            <w:tcW w:w="1319"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180</w:t>
            </w:r>
          </w:p>
        </w:tc>
        <w:tc>
          <w:tcPr>
            <w:tcW w:w="1317" w:type="dxa"/>
            <w:gridSpan w:val="2"/>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180</w:t>
            </w:r>
          </w:p>
        </w:tc>
        <w:tc>
          <w:tcPr>
            <w:tcW w:w="1466"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100%</w:t>
            </w:r>
          </w:p>
        </w:tc>
        <w:tc>
          <w:tcPr>
            <w:tcW w:w="2196" w:type="dxa"/>
            <w:gridSpan w:val="3"/>
            <w:vAlign w:val="center"/>
          </w:tcPr>
          <w:p>
            <w:pPr>
              <w:widowControl/>
              <w:snapToGrid w:val="0"/>
              <w:jc w:val="center"/>
              <w:rPr>
                <w:rFonts w:hint="default"/>
                <w:lang w:val="en-US" w:eastAsia="zh-CN"/>
              </w:rPr>
            </w:pPr>
            <w:r>
              <w:rPr>
                <w:rFonts w:hint="eastAsia" w:ascii="仿宋_GB2312" w:hAnsi="宋体" w:eastAsia="仿宋_GB2312" w:cs="Times New Roman"/>
                <w:kern w:val="0"/>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restart"/>
            <w:vAlign w:val="center"/>
          </w:tcPr>
          <w:p>
            <w:pPr>
              <w:widowControl/>
              <w:snapToGrid w:val="0"/>
              <w:jc w:val="center"/>
              <w:rPr>
                <w:rFonts w:ascii="仿宋_GB2312" w:hAnsi="宋体" w:eastAsia="仿宋_GB2312" w:cs="仿宋_GB2312"/>
                <w:kern w:val="0"/>
              </w:rPr>
            </w:pPr>
            <w:r>
              <w:rPr>
                <w:rFonts w:hint="eastAsia" w:ascii="仿宋_GB2312" w:hAnsi="宋体" w:eastAsia="仿宋_GB2312" w:cs="仿宋_GB2312"/>
                <w:kern w:val="0"/>
              </w:rPr>
              <w:t>年度绩效目标</w:t>
            </w:r>
          </w:p>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w:t>
            </w:r>
            <w:r>
              <w:rPr>
                <w:rFonts w:hint="eastAsia" w:ascii="仿宋_GB2312" w:hAnsi="宋体" w:eastAsia="仿宋_GB2312" w:cs="仿宋_GB2312"/>
                <w:kern w:val="0"/>
                <w:sz w:val="20"/>
                <w:szCs w:val="20"/>
                <w:lang w:val="en-US" w:eastAsia="zh-CN"/>
              </w:rPr>
              <w:t>80</w:t>
            </w:r>
            <w:r>
              <w:rPr>
                <w:rFonts w:hint="eastAsia" w:ascii="仿宋_GB2312" w:hAnsi="宋体" w:eastAsia="仿宋_GB2312" w:cs="仿宋_GB2312"/>
                <w:kern w:val="0"/>
              </w:rPr>
              <w:t>分）</w:t>
            </w:r>
          </w:p>
        </w:tc>
        <w:tc>
          <w:tcPr>
            <w:tcW w:w="700" w:type="dxa"/>
            <w:vAlign w:val="center"/>
          </w:tcPr>
          <w:p>
            <w:pPr>
              <w:snapToGrid w:val="0"/>
              <w:jc w:val="center"/>
              <w:rPr>
                <w:rFonts w:ascii="仿宋_GB2312" w:hAnsi="宋体" w:eastAsia="仿宋_GB2312" w:cs="Times New Roman"/>
                <w:kern w:val="0"/>
              </w:rPr>
            </w:pPr>
            <w:r>
              <w:rPr>
                <w:rFonts w:hint="eastAsia" w:ascii="仿宋_GB2312" w:hAnsi="宋体" w:eastAsia="仿宋_GB2312" w:cs="仿宋_GB2312"/>
                <w:kern w:val="0"/>
              </w:rPr>
              <w:t>一级指标</w:t>
            </w:r>
          </w:p>
        </w:tc>
        <w:tc>
          <w:tcPr>
            <w:tcW w:w="1122"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二级指标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三级指标</w:t>
            </w:r>
          </w:p>
        </w:tc>
        <w:tc>
          <w:tcPr>
            <w:tcW w:w="1466" w:type="dxa"/>
            <w:vAlign w:val="center"/>
          </w:tcPr>
          <w:p>
            <w:pPr>
              <w:widowControl/>
              <w:snapToGrid w:val="0"/>
              <w:jc w:val="center"/>
              <w:rPr>
                <w:rFonts w:ascii="仿宋_GB2312" w:hAnsi="宋体" w:eastAsia="仿宋_GB2312" w:cs="仿宋_GB2312"/>
                <w:kern w:val="0"/>
              </w:rPr>
            </w:pPr>
            <w:r>
              <w:rPr>
                <w:rFonts w:hint="eastAsia" w:ascii="仿宋_GB2312" w:hAnsi="宋体" w:eastAsia="仿宋_GB2312" w:cs="仿宋_GB2312"/>
                <w:kern w:val="0"/>
              </w:rPr>
              <w:t>年初目标值（</w:t>
            </w:r>
            <w:r>
              <w:rPr>
                <w:rFonts w:ascii="仿宋_GB2312" w:hAnsi="宋体" w:eastAsia="仿宋_GB2312" w:cs="仿宋_GB2312"/>
                <w:kern w:val="0"/>
              </w:rPr>
              <w:t>A</w:t>
            </w:r>
            <w:r>
              <w:rPr>
                <w:rFonts w:hint="eastAsia" w:ascii="仿宋_GB2312" w:hAnsi="宋体" w:eastAsia="仿宋_GB2312" w:cs="仿宋_GB2312"/>
                <w:kern w:val="0"/>
              </w:rPr>
              <w:t>）</w:t>
            </w:r>
          </w:p>
        </w:tc>
        <w:tc>
          <w:tcPr>
            <w:tcW w:w="1319" w:type="dxa"/>
            <w:gridSpan w:val="2"/>
            <w:vAlign w:val="center"/>
          </w:tcPr>
          <w:p>
            <w:pPr>
              <w:widowControl/>
              <w:snapToGrid w:val="0"/>
              <w:jc w:val="center"/>
              <w:rPr>
                <w:rFonts w:ascii="仿宋_GB2312" w:hAnsi="宋体" w:eastAsia="仿宋_GB2312" w:cs="仿宋_GB2312"/>
                <w:kern w:val="0"/>
              </w:rPr>
            </w:pPr>
            <w:r>
              <w:rPr>
                <w:rFonts w:hint="eastAsia" w:ascii="仿宋_GB2312" w:hAnsi="宋体" w:eastAsia="仿宋_GB2312" w:cs="仿宋_GB2312"/>
                <w:kern w:val="0"/>
              </w:rPr>
              <w:t>实际完成值（</w:t>
            </w:r>
            <w:r>
              <w:rPr>
                <w:rFonts w:ascii="仿宋_GB2312" w:hAnsi="宋体" w:eastAsia="仿宋_GB2312" w:cs="仿宋_GB2312"/>
                <w:kern w:val="0"/>
              </w:rPr>
              <w:t>B</w:t>
            </w:r>
            <w:r>
              <w:rPr>
                <w:rFonts w:hint="eastAsia" w:ascii="仿宋_GB2312" w:hAnsi="宋体" w:eastAsia="仿宋_GB2312" w:cs="仿宋_GB2312"/>
                <w:kern w:val="0"/>
              </w:rPr>
              <w:t>）</w:t>
            </w:r>
          </w:p>
        </w:tc>
        <w:tc>
          <w:tcPr>
            <w:tcW w:w="877"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snapToGrid w:val="0"/>
              <w:jc w:val="center"/>
              <w:rPr>
                <w:rFonts w:ascii="仿宋_GB2312" w:hAnsi="宋体" w:eastAsia="仿宋_GB2312" w:cs="Times New Roman"/>
                <w:kern w:val="0"/>
              </w:rPr>
            </w:pPr>
          </w:p>
        </w:tc>
        <w:tc>
          <w:tcPr>
            <w:tcW w:w="700" w:type="dxa"/>
            <w:vMerge w:val="restart"/>
            <w:vAlign w:val="center"/>
          </w:tcPr>
          <w:p>
            <w:pPr>
              <w:snapToGrid w:val="0"/>
              <w:jc w:val="center"/>
              <w:rPr>
                <w:rFonts w:hint="eastAsia" w:ascii="仿宋_GB2312" w:hAnsi="宋体" w:eastAsia="仿宋_GB2312" w:cs="Times New Roman"/>
                <w:kern w:val="0"/>
                <w:lang w:eastAsia="zh-CN"/>
              </w:rPr>
            </w:pPr>
            <w:r>
              <w:rPr>
                <w:rFonts w:hint="eastAsia" w:ascii="仿宋_GB2312" w:hAnsi="宋体" w:eastAsia="仿宋_GB2312" w:cs="仿宋_GB2312"/>
                <w:kern w:val="0"/>
              </w:rPr>
              <w:t>产出指标</w:t>
            </w:r>
            <w:r>
              <w:rPr>
                <w:rFonts w:hint="eastAsia" w:ascii="仿宋_GB2312" w:hAnsi="宋体" w:eastAsia="仿宋_GB2312" w:cs="仿宋_GB2312"/>
                <w:kern w:val="0"/>
                <w:lang w:eastAsia="zh-CN"/>
              </w:rPr>
              <w:t>（</w:t>
            </w:r>
            <w:r>
              <w:rPr>
                <w:rFonts w:hint="eastAsia" w:ascii="仿宋_GB2312" w:hAnsi="宋体" w:eastAsia="仿宋_GB2312" w:cs="仿宋_GB2312"/>
                <w:kern w:val="0"/>
                <w:lang w:val="en-US" w:eastAsia="zh-CN"/>
              </w:rPr>
              <w:t>40分</w:t>
            </w:r>
            <w:r>
              <w:rPr>
                <w:rFonts w:hint="eastAsia" w:ascii="仿宋_GB2312" w:hAnsi="宋体" w:eastAsia="仿宋_GB2312" w:cs="仿宋_GB2312"/>
                <w:kern w:val="0"/>
                <w:lang w:eastAsia="zh-CN"/>
              </w:rPr>
              <w:t>）</w:t>
            </w:r>
          </w:p>
        </w:tc>
        <w:tc>
          <w:tcPr>
            <w:tcW w:w="1122"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数量指标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引进院士、专家与我市企业开展产学研合作，建立院士（专家）工作站</w:t>
            </w:r>
          </w:p>
        </w:tc>
        <w:tc>
          <w:tcPr>
            <w:tcW w:w="1466"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15家</w:t>
            </w:r>
          </w:p>
        </w:tc>
        <w:tc>
          <w:tcPr>
            <w:tcW w:w="1319" w:type="dxa"/>
            <w:gridSpan w:val="2"/>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16家</w:t>
            </w:r>
          </w:p>
        </w:tc>
        <w:tc>
          <w:tcPr>
            <w:tcW w:w="877"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snapToGrid w:val="0"/>
              <w:jc w:val="center"/>
              <w:rPr>
                <w:rFonts w:ascii="仿宋_GB2312" w:hAnsi="宋体" w:eastAsia="仿宋_GB2312" w:cs="Times New Roman"/>
                <w:kern w:val="0"/>
              </w:rPr>
            </w:pPr>
          </w:p>
        </w:tc>
        <w:tc>
          <w:tcPr>
            <w:tcW w:w="700" w:type="dxa"/>
            <w:vMerge w:val="continue"/>
            <w:vAlign w:val="center"/>
          </w:tcPr>
          <w:p>
            <w:pPr>
              <w:widowControl/>
              <w:snapToGrid w:val="0"/>
              <w:jc w:val="center"/>
              <w:rPr>
                <w:rFonts w:ascii="仿宋_GB2312" w:hAnsi="宋体" w:eastAsia="仿宋_GB2312" w:cs="Times New Roman"/>
                <w:kern w:val="0"/>
              </w:rPr>
            </w:pPr>
          </w:p>
        </w:tc>
        <w:tc>
          <w:tcPr>
            <w:tcW w:w="1122"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数量指标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围绕我市“十四五”发展重点产业布局，建立院士（专家）工作站</w:t>
            </w:r>
          </w:p>
        </w:tc>
        <w:tc>
          <w:tcPr>
            <w:tcW w:w="1466"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15家</w:t>
            </w:r>
          </w:p>
        </w:tc>
        <w:tc>
          <w:tcPr>
            <w:tcW w:w="1319" w:type="dxa"/>
            <w:gridSpan w:val="2"/>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16家</w:t>
            </w:r>
          </w:p>
        </w:tc>
        <w:tc>
          <w:tcPr>
            <w:tcW w:w="877"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snapToGrid w:val="0"/>
              <w:jc w:val="center"/>
              <w:rPr>
                <w:rFonts w:ascii="仿宋_GB2312" w:hAnsi="宋体" w:eastAsia="仿宋_GB2312" w:cs="Times New Roman"/>
                <w:kern w:val="0"/>
              </w:rPr>
            </w:pPr>
          </w:p>
        </w:tc>
        <w:tc>
          <w:tcPr>
            <w:tcW w:w="700" w:type="dxa"/>
            <w:vMerge w:val="continue"/>
            <w:vAlign w:val="center"/>
          </w:tcPr>
          <w:p>
            <w:pPr>
              <w:widowControl/>
              <w:snapToGrid w:val="0"/>
              <w:jc w:val="center"/>
              <w:rPr>
                <w:rFonts w:ascii="仿宋_GB2312" w:hAnsi="宋体" w:eastAsia="仿宋_GB2312" w:cs="Times New Roman"/>
                <w:kern w:val="0"/>
              </w:rPr>
            </w:pPr>
          </w:p>
        </w:tc>
        <w:tc>
          <w:tcPr>
            <w:tcW w:w="1122"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质量指标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按目标任务要求完成达标率</w:t>
            </w:r>
          </w:p>
        </w:tc>
        <w:tc>
          <w:tcPr>
            <w:tcW w:w="1466"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90%</w:t>
            </w:r>
          </w:p>
        </w:tc>
        <w:tc>
          <w:tcPr>
            <w:tcW w:w="1319"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lang w:val="en-US" w:eastAsia="zh-CN"/>
              </w:rPr>
              <w:t>90%</w:t>
            </w:r>
          </w:p>
        </w:tc>
        <w:tc>
          <w:tcPr>
            <w:tcW w:w="877" w:type="dxa"/>
            <w:vAlign w:val="center"/>
          </w:tcPr>
          <w:p>
            <w:pPr>
              <w:widowControl/>
              <w:snapToGrid w:val="0"/>
              <w:jc w:val="center"/>
              <w:rPr>
                <w:rFonts w:hint="eastAsia"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snapToGrid w:val="0"/>
              <w:jc w:val="center"/>
              <w:rPr>
                <w:rFonts w:ascii="仿宋_GB2312" w:hAnsi="宋体" w:eastAsia="仿宋_GB2312" w:cs="Times New Roman"/>
                <w:kern w:val="0"/>
              </w:rPr>
            </w:pPr>
          </w:p>
        </w:tc>
        <w:tc>
          <w:tcPr>
            <w:tcW w:w="700" w:type="dxa"/>
            <w:vMerge w:val="continue"/>
            <w:vAlign w:val="center"/>
          </w:tcPr>
          <w:p>
            <w:pPr>
              <w:widowControl/>
              <w:snapToGrid w:val="0"/>
              <w:jc w:val="center"/>
              <w:rPr>
                <w:rFonts w:ascii="仿宋_GB2312" w:hAnsi="宋体" w:eastAsia="仿宋_GB2312" w:cs="Times New Roman"/>
                <w:kern w:val="0"/>
              </w:rPr>
            </w:pPr>
          </w:p>
        </w:tc>
        <w:tc>
          <w:tcPr>
            <w:tcW w:w="1122" w:type="dxa"/>
            <w:vAlign w:val="center"/>
          </w:tcPr>
          <w:p>
            <w:pPr>
              <w:widowControl/>
              <w:snapToGrid w:val="0"/>
              <w:jc w:val="center"/>
              <w:rPr>
                <w:rFonts w:hint="eastAsia" w:ascii="仿宋_GB2312" w:hAnsi="宋体" w:eastAsia="仿宋_GB2312" w:cs="仿宋_GB2312"/>
                <w:kern w:val="0"/>
              </w:rPr>
            </w:pPr>
            <w:r>
              <w:rPr>
                <w:rFonts w:hint="eastAsia" w:ascii="仿宋_GB2312" w:hAnsi="宋体" w:eastAsia="仿宋_GB2312" w:cs="仿宋_GB2312"/>
                <w:kern w:val="0"/>
              </w:rPr>
              <w:t>质量指标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提高高新技术企业的建站数量达标率</w:t>
            </w:r>
          </w:p>
        </w:tc>
        <w:tc>
          <w:tcPr>
            <w:tcW w:w="1466"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90%</w:t>
            </w:r>
          </w:p>
        </w:tc>
        <w:tc>
          <w:tcPr>
            <w:tcW w:w="1319"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lang w:val="en-US" w:eastAsia="zh-CN"/>
              </w:rPr>
              <w:t>90%</w:t>
            </w:r>
          </w:p>
        </w:tc>
        <w:tc>
          <w:tcPr>
            <w:tcW w:w="877" w:type="dxa"/>
            <w:vAlign w:val="center"/>
          </w:tcPr>
          <w:p>
            <w:pPr>
              <w:widowControl/>
              <w:snapToGrid w:val="0"/>
              <w:jc w:val="center"/>
              <w:rPr>
                <w:rFonts w:hint="eastAsia"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snapToGrid w:val="0"/>
              <w:jc w:val="center"/>
              <w:rPr>
                <w:rFonts w:ascii="仿宋_GB2312" w:hAnsi="宋体" w:eastAsia="仿宋_GB2312" w:cs="Times New Roman"/>
                <w:kern w:val="0"/>
              </w:rPr>
            </w:pPr>
          </w:p>
        </w:tc>
        <w:tc>
          <w:tcPr>
            <w:tcW w:w="700" w:type="dxa"/>
            <w:vMerge w:val="continue"/>
            <w:vAlign w:val="center"/>
          </w:tcPr>
          <w:p>
            <w:pPr>
              <w:widowControl/>
              <w:snapToGrid w:val="0"/>
              <w:jc w:val="center"/>
              <w:rPr>
                <w:rFonts w:ascii="仿宋_GB2312" w:hAnsi="宋体" w:eastAsia="仿宋_GB2312" w:cs="Times New Roman"/>
                <w:kern w:val="0"/>
              </w:rPr>
            </w:pPr>
          </w:p>
        </w:tc>
        <w:tc>
          <w:tcPr>
            <w:tcW w:w="1122" w:type="dxa"/>
            <w:vAlign w:val="center"/>
          </w:tcPr>
          <w:p>
            <w:pPr>
              <w:widowControl/>
              <w:snapToGrid w:val="0"/>
              <w:jc w:val="center"/>
              <w:rPr>
                <w:rFonts w:hint="eastAsia" w:ascii="仿宋_GB2312" w:hAnsi="宋体" w:eastAsia="仿宋_GB2312" w:cs="仿宋_GB2312"/>
                <w:kern w:val="0"/>
              </w:rPr>
            </w:pPr>
            <w:r>
              <w:rPr>
                <w:rFonts w:hint="eastAsia" w:ascii="仿宋_GB2312" w:hAnsi="宋体" w:eastAsia="仿宋_GB2312" w:cs="仿宋_GB2312"/>
                <w:kern w:val="0"/>
              </w:rPr>
              <w:t>时效指标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对已批复的院士（专家）工作站进行补助</w:t>
            </w:r>
          </w:p>
        </w:tc>
        <w:tc>
          <w:tcPr>
            <w:tcW w:w="1466"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12月</w:t>
            </w:r>
          </w:p>
        </w:tc>
        <w:tc>
          <w:tcPr>
            <w:tcW w:w="1319"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lang w:val="en-US" w:eastAsia="zh-CN"/>
              </w:rPr>
              <w:t>12月</w:t>
            </w:r>
          </w:p>
        </w:tc>
        <w:tc>
          <w:tcPr>
            <w:tcW w:w="877" w:type="dxa"/>
            <w:vAlign w:val="center"/>
          </w:tcPr>
          <w:p>
            <w:pPr>
              <w:widowControl/>
              <w:snapToGrid w:val="0"/>
              <w:jc w:val="center"/>
              <w:rPr>
                <w:rFonts w:hint="eastAsia"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snapToGrid w:val="0"/>
              <w:jc w:val="center"/>
              <w:rPr>
                <w:rFonts w:ascii="仿宋_GB2312" w:hAnsi="宋体" w:eastAsia="仿宋_GB2312" w:cs="Times New Roman"/>
                <w:kern w:val="0"/>
              </w:rPr>
            </w:pPr>
          </w:p>
        </w:tc>
        <w:tc>
          <w:tcPr>
            <w:tcW w:w="700" w:type="dxa"/>
            <w:vMerge w:val="continue"/>
            <w:vAlign w:val="center"/>
          </w:tcPr>
          <w:p>
            <w:pPr>
              <w:widowControl/>
              <w:snapToGrid w:val="0"/>
              <w:jc w:val="center"/>
              <w:rPr>
                <w:rFonts w:ascii="仿宋_GB2312" w:hAnsi="宋体" w:eastAsia="仿宋_GB2312" w:cs="Times New Roman"/>
                <w:kern w:val="0"/>
              </w:rPr>
            </w:pPr>
          </w:p>
        </w:tc>
        <w:tc>
          <w:tcPr>
            <w:tcW w:w="1122" w:type="dxa"/>
            <w:vAlign w:val="center"/>
          </w:tcPr>
          <w:p>
            <w:pPr>
              <w:widowControl/>
              <w:snapToGrid w:val="0"/>
              <w:jc w:val="center"/>
              <w:rPr>
                <w:rFonts w:hint="eastAsia" w:ascii="仿宋_GB2312" w:hAnsi="宋体" w:eastAsia="仿宋_GB2312" w:cs="仿宋_GB2312"/>
                <w:kern w:val="0"/>
              </w:rPr>
            </w:pPr>
            <w:r>
              <w:rPr>
                <w:rFonts w:hint="eastAsia" w:ascii="仿宋_GB2312" w:hAnsi="宋体" w:eastAsia="仿宋_GB2312" w:cs="仿宋_GB2312"/>
                <w:kern w:val="0"/>
              </w:rPr>
              <w:t>成本指标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对已批复的院士（专家）工作站进行补助</w:t>
            </w:r>
          </w:p>
        </w:tc>
        <w:tc>
          <w:tcPr>
            <w:tcW w:w="1466"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300万元</w:t>
            </w:r>
          </w:p>
        </w:tc>
        <w:tc>
          <w:tcPr>
            <w:tcW w:w="1319" w:type="dxa"/>
            <w:gridSpan w:val="2"/>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180万元</w:t>
            </w:r>
          </w:p>
        </w:tc>
        <w:tc>
          <w:tcPr>
            <w:tcW w:w="877" w:type="dxa"/>
            <w:vAlign w:val="center"/>
          </w:tcPr>
          <w:p>
            <w:pPr>
              <w:widowControl/>
              <w:snapToGrid w:val="0"/>
              <w:jc w:val="center"/>
              <w:rPr>
                <w:rFonts w:hint="eastAsia"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widowControl/>
              <w:snapToGrid w:val="0"/>
              <w:jc w:val="center"/>
              <w:rPr>
                <w:rFonts w:ascii="仿宋_GB2312" w:hAnsi="宋体" w:eastAsia="仿宋_GB2312" w:cs="Times New Roman"/>
                <w:kern w:val="0"/>
              </w:rPr>
            </w:pPr>
          </w:p>
        </w:tc>
        <w:tc>
          <w:tcPr>
            <w:tcW w:w="700" w:type="dxa"/>
            <w:vMerge w:val="restart"/>
            <w:vAlign w:val="center"/>
          </w:tcPr>
          <w:p>
            <w:pPr>
              <w:snapToGrid w:val="0"/>
              <w:jc w:val="center"/>
              <w:rPr>
                <w:rFonts w:hint="eastAsia" w:ascii="仿宋_GB2312" w:hAnsi="宋体" w:eastAsia="仿宋_GB2312" w:cs="Times New Roman"/>
                <w:kern w:val="0"/>
                <w:lang w:eastAsia="zh-CN"/>
              </w:rPr>
            </w:pPr>
            <w:r>
              <w:rPr>
                <w:rFonts w:hint="eastAsia" w:ascii="仿宋_GB2312" w:hAnsi="宋体" w:eastAsia="仿宋_GB2312" w:cs="仿宋_GB2312"/>
                <w:kern w:val="0"/>
              </w:rPr>
              <w:t>效益指标</w:t>
            </w:r>
            <w:r>
              <w:rPr>
                <w:rFonts w:hint="eastAsia" w:ascii="仿宋_GB2312" w:hAnsi="宋体" w:eastAsia="仿宋_GB2312" w:cs="仿宋_GB2312"/>
                <w:kern w:val="0"/>
                <w:lang w:eastAsia="zh-CN"/>
              </w:rPr>
              <w:t>（</w:t>
            </w:r>
            <w:r>
              <w:rPr>
                <w:rFonts w:hint="eastAsia" w:ascii="仿宋_GB2312" w:hAnsi="宋体" w:eastAsia="仿宋_GB2312" w:cs="仿宋_GB2312"/>
                <w:kern w:val="0"/>
                <w:lang w:val="en-US" w:eastAsia="zh-CN"/>
              </w:rPr>
              <w:t>20分</w:t>
            </w:r>
            <w:r>
              <w:rPr>
                <w:rFonts w:hint="eastAsia" w:ascii="仿宋_GB2312" w:hAnsi="宋体" w:eastAsia="仿宋_GB2312" w:cs="仿宋_GB2312"/>
                <w:kern w:val="0"/>
                <w:lang w:eastAsia="zh-CN"/>
              </w:rPr>
              <w:t>）</w:t>
            </w:r>
          </w:p>
        </w:tc>
        <w:tc>
          <w:tcPr>
            <w:tcW w:w="1122"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经济效益指标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引进院士、专家及其团队，增强企业科研实力，提高企业利税贡献力</w:t>
            </w:r>
          </w:p>
        </w:tc>
        <w:tc>
          <w:tcPr>
            <w:tcW w:w="1466"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提升</w:t>
            </w:r>
          </w:p>
        </w:tc>
        <w:tc>
          <w:tcPr>
            <w:tcW w:w="1319"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提升</w:t>
            </w:r>
          </w:p>
        </w:tc>
        <w:tc>
          <w:tcPr>
            <w:tcW w:w="877" w:type="dxa"/>
            <w:vAlign w:val="center"/>
          </w:tcPr>
          <w:p>
            <w:pPr>
              <w:widowControl/>
              <w:snapToGrid w:val="0"/>
              <w:jc w:val="center"/>
              <w:rPr>
                <w:rFonts w:hint="eastAsia"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widowControl/>
              <w:snapToGrid w:val="0"/>
              <w:jc w:val="center"/>
              <w:rPr>
                <w:rFonts w:ascii="仿宋_GB2312" w:hAnsi="宋体" w:eastAsia="仿宋_GB2312" w:cs="Times New Roman"/>
                <w:kern w:val="0"/>
              </w:rPr>
            </w:pPr>
          </w:p>
        </w:tc>
        <w:tc>
          <w:tcPr>
            <w:tcW w:w="700" w:type="dxa"/>
            <w:vMerge w:val="continue"/>
            <w:vAlign w:val="center"/>
          </w:tcPr>
          <w:p>
            <w:pPr>
              <w:widowControl/>
              <w:snapToGrid w:val="0"/>
              <w:jc w:val="center"/>
              <w:rPr>
                <w:rFonts w:ascii="仿宋_GB2312" w:hAnsi="宋体" w:eastAsia="仿宋_GB2312" w:cs="Times New Roman"/>
                <w:kern w:val="0"/>
              </w:rPr>
            </w:pPr>
          </w:p>
        </w:tc>
        <w:tc>
          <w:tcPr>
            <w:tcW w:w="1122"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社会效益指标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促进建站企业提升科技创新能力，培育科技人才团队</w:t>
            </w:r>
          </w:p>
        </w:tc>
        <w:tc>
          <w:tcPr>
            <w:tcW w:w="1466"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提升</w:t>
            </w:r>
          </w:p>
        </w:tc>
        <w:tc>
          <w:tcPr>
            <w:tcW w:w="1319"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提升</w:t>
            </w:r>
          </w:p>
        </w:tc>
        <w:tc>
          <w:tcPr>
            <w:tcW w:w="877" w:type="dxa"/>
            <w:vAlign w:val="center"/>
          </w:tcPr>
          <w:p>
            <w:pPr>
              <w:widowControl/>
              <w:snapToGrid w:val="0"/>
              <w:jc w:val="center"/>
              <w:rPr>
                <w:rFonts w:hint="eastAsia"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widowControl/>
              <w:snapToGrid w:val="0"/>
              <w:jc w:val="center"/>
              <w:rPr>
                <w:rFonts w:ascii="仿宋_GB2312" w:hAnsi="宋体" w:eastAsia="仿宋_GB2312" w:cs="Times New Roman"/>
                <w:kern w:val="0"/>
              </w:rPr>
            </w:pPr>
          </w:p>
        </w:tc>
        <w:tc>
          <w:tcPr>
            <w:tcW w:w="700" w:type="dxa"/>
            <w:vMerge w:val="continue"/>
            <w:vAlign w:val="center"/>
          </w:tcPr>
          <w:p>
            <w:pPr>
              <w:widowControl/>
              <w:snapToGrid w:val="0"/>
              <w:jc w:val="center"/>
              <w:rPr>
                <w:rFonts w:ascii="仿宋_GB2312" w:hAnsi="宋体" w:eastAsia="仿宋_GB2312" w:cs="Times New Roman"/>
                <w:kern w:val="0"/>
              </w:rPr>
            </w:pPr>
          </w:p>
        </w:tc>
        <w:tc>
          <w:tcPr>
            <w:tcW w:w="1122"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可持续影响指标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建站企业科技创新力提升</w:t>
            </w:r>
          </w:p>
        </w:tc>
        <w:tc>
          <w:tcPr>
            <w:tcW w:w="1466"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不断增长</w:t>
            </w:r>
          </w:p>
        </w:tc>
        <w:tc>
          <w:tcPr>
            <w:tcW w:w="1319" w:type="dxa"/>
            <w:gridSpan w:val="2"/>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不断增长</w:t>
            </w:r>
          </w:p>
        </w:tc>
        <w:tc>
          <w:tcPr>
            <w:tcW w:w="877" w:type="dxa"/>
            <w:vAlign w:val="center"/>
          </w:tcPr>
          <w:p>
            <w:pPr>
              <w:widowControl/>
              <w:snapToGrid w:val="0"/>
              <w:jc w:val="center"/>
              <w:rPr>
                <w:rFonts w:hint="eastAsia"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Merge w:val="continue"/>
            <w:vAlign w:val="center"/>
          </w:tcPr>
          <w:p>
            <w:pPr>
              <w:widowControl/>
              <w:snapToGrid w:val="0"/>
              <w:jc w:val="center"/>
              <w:rPr>
                <w:rFonts w:ascii="仿宋_GB2312" w:hAnsi="宋体" w:eastAsia="仿宋_GB2312" w:cs="Times New Roman"/>
                <w:kern w:val="0"/>
              </w:rPr>
            </w:pPr>
          </w:p>
        </w:tc>
        <w:tc>
          <w:tcPr>
            <w:tcW w:w="700" w:type="dxa"/>
            <w:vAlign w:val="center"/>
          </w:tcPr>
          <w:p>
            <w:pPr>
              <w:widowControl/>
              <w:snapToGrid w:val="0"/>
              <w:jc w:val="center"/>
              <w:rPr>
                <w:rFonts w:hint="eastAsia" w:ascii="仿宋_GB2312" w:hAnsi="宋体" w:eastAsia="仿宋_GB2312" w:cs="Times New Roman"/>
                <w:kern w:val="0"/>
                <w:lang w:eastAsia="zh-CN"/>
              </w:rPr>
            </w:pPr>
            <w:r>
              <w:rPr>
                <w:rFonts w:hint="eastAsia" w:ascii="仿宋_GB2312" w:hAnsi="宋体" w:eastAsia="仿宋_GB2312" w:cs="Times New Roman"/>
                <w:kern w:val="0"/>
              </w:rPr>
              <w:t>满意度指标</w:t>
            </w:r>
            <w:r>
              <w:rPr>
                <w:rFonts w:hint="eastAsia" w:ascii="仿宋_GB2312" w:hAnsi="宋体" w:eastAsia="仿宋_GB2312" w:cs="Times New Roman"/>
                <w:kern w:val="0"/>
                <w:lang w:eastAsia="zh-CN"/>
              </w:rPr>
              <w:t>（</w:t>
            </w:r>
            <w:r>
              <w:rPr>
                <w:rFonts w:hint="eastAsia" w:ascii="仿宋_GB2312" w:hAnsi="宋体" w:eastAsia="仿宋_GB2312" w:cs="Times New Roman"/>
                <w:kern w:val="0"/>
                <w:lang w:val="en-US" w:eastAsia="zh-CN"/>
              </w:rPr>
              <w:t>20分</w:t>
            </w:r>
            <w:r>
              <w:rPr>
                <w:rFonts w:hint="eastAsia" w:ascii="仿宋_GB2312" w:hAnsi="宋体" w:eastAsia="仿宋_GB2312" w:cs="Times New Roman"/>
                <w:kern w:val="0"/>
                <w:lang w:eastAsia="zh-CN"/>
              </w:rPr>
              <w:t>）</w:t>
            </w:r>
          </w:p>
        </w:tc>
        <w:tc>
          <w:tcPr>
            <w:tcW w:w="1122" w:type="dxa"/>
            <w:vAlign w:val="center"/>
          </w:tcPr>
          <w:p>
            <w:pPr>
              <w:widowControl/>
              <w:snapToGrid w:val="0"/>
              <w:jc w:val="center"/>
              <w:rPr>
                <w:rFonts w:ascii="仿宋_GB2312" w:hAnsi="宋体" w:eastAsia="仿宋_GB2312" w:cs="仿宋_GB2312"/>
                <w:kern w:val="0"/>
              </w:rPr>
            </w:pPr>
            <w:r>
              <w:rPr>
                <w:rFonts w:hint="eastAsia" w:ascii="仿宋_GB2312" w:hAnsi="宋体" w:eastAsia="仿宋_GB2312" w:cs="仿宋_GB2312"/>
                <w:kern w:val="0"/>
              </w:rPr>
              <w:t>满意度指标</w:t>
            </w:r>
          </w:p>
        </w:tc>
        <w:tc>
          <w:tcPr>
            <w:tcW w:w="2636" w:type="dxa"/>
            <w:gridSpan w:val="3"/>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Times New Roman"/>
                <w:kern w:val="0"/>
              </w:rPr>
              <w:t>建站单位、院士、专家满意度</w:t>
            </w:r>
          </w:p>
        </w:tc>
        <w:tc>
          <w:tcPr>
            <w:tcW w:w="1466"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90%</w:t>
            </w:r>
          </w:p>
        </w:tc>
        <w:tc>
          <w:tcPr>
            <w:tcW w:w="1319" w:type="dxa"/>
            <w:gridSpan w:val="2"/>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97%</w:t>
            </w:r>
          </w:p>
        </w:tc>
        <w:tc>
          <w:tcPr>
            <w:tcW w:w="877" w:type="dxa"/>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8" w:type="dxa"/>
            <w:vAlign w:val="center"/>
          </w:tcPr>
          <w:p>
            <w:pPr>
              <w:widowControl/>
              <w:snapToGrid w:val="0"/>
              <w:jc w:val="center"/>
              <w:rPr>
                <w:rFonts w:ascii="仿宋_GB2312" w:hAnsi="宋体" w:eastAsia="仿宋_GB2312" w:cs="Times New Roman"/>
                <w:kern w:val="0"/>
              </w:rPr>
            </w:pPr>
            <w:r>
              <w:rPr>
                <w:rFonts w:hint="eastAsia" w:ascii="仿宋_GB2312" w:hAnsi="宋体" w:eastAsia="仿宋_GB2312" w:cs="仿宋_GB2312"/>
                <w:kern w:val="0"/>
              </w:rPr>
              <w:t>总分</w:t>
            </w:r>
          </w:p>
        </w:tc>
        <w:tc>
          <w:tcPr>
            <w:tcW w:w="8120" w:type="dxa"/>
            <w:gridSpan w:val="9"/>
            <w:vAlign w:val="center"/>
          </w:tcPr>
          <w:p>
            <w:pPr>
              <w:widowControl/>
              <w:snapToGrid w:val="0"/>
              <w:jc w:val="center"/>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98分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1" w:hRule="atLeast"/>
          <w:jc w:val="center"/>
        </w:trPr>
        <w:tc>
          <w:tcPr>
            <w:tcW w:w="1528" w:type="dxa"/>
            <w:gridSpan w:val="2"/>
            <w:vAlign w:val="center"/>
          </w:tcPr>
          <w:p>
            <w:pPr>
              <w:widowControl/>
              <w:jc w:val="center"/>
              <w:rPr>
                <w:rFonts w:ascii="仿宋_GB2312" w:hAnsi="宋体" w:eastAsia="仿宋_GB2312" w:cs="Times New Roman"/>
                <w:kern w:val="0"/>
              </w:rPr>
            </w:pPr>
            <w:r>
              <w:rPr>
                <w:rFonts w:hint="eastAsia" w:ascii="仿宋_GB2312" w:hAnsi="宋体" w:eastAsia="仿宋_GB2312" w:cs="仿宋_GB2312"/>
                <w:kern w:val="0"/>
              </w:rPr>
              <w:t>偏差大或</w:t>
            </w:r>
          </w:p>
          <w:p>
            <w:pPr>
              <w:widowControl/>
              <w:jc w:val="center"/>
              <w:rPr>
                <w:rFonts w:ascii="仿宋_GB2312" w:hAnsi="宋体" w:eastAsia="仿宋_GB2312" w:cs="Times New Roman"/>
                <w:kern w:val="0"/>
              </w:rPr>
            </w:pPr>
            <w:r>
              <w:rPr>
                <w:rFonts w:hint="eastAsia" w:ascii="仿宋_GB2312" w:hAnsi="宋体" w:eastAsia="仿宋_GB2312" w:cs="仿宋_GB2312"/>
                <w:kern w:val="0"/>
              </w:rPr>
              <w:t>目标未完成</w:t>
            </w:r>
          </w:p>
          <w:p>
            <w:pPr>
              <w:widowControl/>
              <w:jc w:val="center"/>
              <w:rPr>
                <w:rFonts w:ascii="仿宋_GB2312" w:hAnsi="宋体" w:eastAsia="仿宋_GB2312" w:cs="Times New Roman"/>
                <w:kern w:val="0"/>
              </w:rPr>
            </w:pPr>
            <w:r>
              <w:rPr>
                <w:rFonts w:hint="eastAsia" w:ascii="仿宋_GB2312" w:hAnsi="宋体" w:eastAsia="仿宋_GB2312" w:cs="仿宋_GB2312"/>
                <w:kern w:val="0"/>
              </w:rPr>
              <w:t>原因分析</w:t>
            </w:r>
          </w:p>
        </w:tc>
        <w:tc>
          <w:tcPr>
            <w:tcW w:w="7420" w:type="dxa"/>
            <w:gridSpan w:val="8"/>
            <w:vAlign w:val="center"/>
          </w:tcPr>
          <w:p>
            <w:pPr>
              <w:widowControl/>
              <w:numPr>
                <w:ilvl w:val="0"/>
                <w:numId w:val="0"/>
              </w:numPr>
              <w:jc w:val="left"/>
              <w:rPr>
                <w:rFonts w:hint="eastAsia" w:ascii="仿宋_GB2312" w:hAnsi="宋体" w:eastAsia="仿宋_GB2312" w:cs="Times New Roman"/>
                <w:kern w:val="0"/>
                <w:lang w:val="en-US" w:eastAsia="zh-CN"/>
              </w:rPr>
            </w:pPr>
            <w:r>
              <w:rPr>
                <w:rFonts w:hint="eastAsia" w:ascii="仿宋_GB2312" w:hAnsi="宋体" w:eastAsia="仿宋_GB2312" w:cs="Times New Roman"/>
                <w:kern w:val="0"/>
                <w:lang w:eastAsia="zh-CN"/>
              </w:rPr>
              <w:t>年初预算</w:t>
            </w:r>
            <w:r>
              <w:rPr>
                <w:rFonts w:hint="eastAsia" w:ascii="仿宋_GB2312" w:hAnsi="宋体" w:eastAsia="仿宋_GB2312" w:cs="Times New Roman"/>
                <w:kern w:val="0"/>
                <w:lang w:val="en-US" w:eastAsia="zh-CN"/>
              </w:rPr>
              <w:t>300万元，实际下达指标180万元，原因是2022年7月，中共襄阳市委  襄阳市人民政府印发了《关于加强和改进新时代人才工作加快建设区域性人才中心和创新高地的实施意见》《隆中人才支持计划实施办法》《“智汇襄阳”计划实施办法》的通知（襄发〔2022〕14号）文件，根据文件精神，给予新设立专家工作站每家先拨付50%资助经费，每家10万元建站补贴。由于疫情等原因剩余8家50%补贴于2023年上半年发放。</w:t>
            </w:r>
          </w:p>
          <w:p>
            <w:pPr>
              <w:widowControl/>
              <w:numPr>
                <w:ilvl w:val="0"/>
                <w:numId w:val="0"/>
              </w:numPr>
              <w:jc w:val="left"/>
              <w:rPr>
                <w:rFonts w:hint="default" w:ascii="仿宋_GB2312" w:hAnsi="宋体" w:eastAsia="仿宋_GB2312" w:cs="Times New Roman"/>
                <w:kern w:val="0"/>
                <w:lang w:val="en-US" w:eastAsia="zh-CN"/>
              </w:rPr>
            </w:pPr>
            <w:r>
              <w:rPr>
                <w:rFonts w:hint="eastAsia" w:ascii="仿宋_GB2312" w:hAnsi="宋体" w:eastAsia="仿宋_GB2312" w:cs="Times New Roman"/>
                <w:kern w:val="0"/>
                <w:lang w:val="en-US" w:eastAsia="zh-CN"/>
              </w:rPr>
              <w:t>按照老人老办法，新人新办法的原则，对2022年7月以前建立的工作站，根据襄阳市人民政府印发《关于全面提升区域创新能力加快推进国家创新型城市建设的实施意见》（襄政发〔2016〕21号）文件精神，给予一次性20万元的补贴，2022年7月以前建站9家，拨付建站补贴180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1528" w:type="dxa"/>
            <w:gridSpan w:val="2"/>
            <w:vAlign w:val="center"/>
          </w:tcPr>
          <w:p>
            <w:pPr>
              <w:widowControl/>
              <w:jc w:val="center"/>
              <w:rPr>
                <w:rFonts w:ascii="仿宋_GB2312" w:hAnsi="宋体" w:eastAsia="仿宋_GB2312" w:cs="Times New Roman"/>
                <w:kern w:val="0"/>
              </w:rPr>
            </w:pPr>
            <w:r>
              <w:rPr>
                <w:rFonts w:hint="eastAsia" w:ascii="仿宋_GB2312" w:hAnsi="宋体" w:eastAsia="仿宋_GB2312" w:cs="仿宋_GB2312"/>
                <w:kern w:val="0"/>
              </w:rPr>
              <w:t>改进措施及</w:t>
            </w:r>
          </w:p>
          <w:p>
            <w:pPr>
              <w:widowControl/>
              <w:jc w:val="center"/>
              <w:rPr>
                <w:rFonts w:ascii="仿宋_GB2312" w:hAnsi="宋体" w:eastAsia="仿宋_GB2312" w:cs="Times New Roman"/>
                <w:kern w:val="0"/>
              </w:rPr>
            </w:pPr>
            <w:r>
              <w:rPr>
                <w:rFonts w:hint="eastAsia" w:ascii="仿宋_GB2312" w:hAnsi="宋体" w:eastAsia="仿宋_GB2312" w:cs="仿宋_GB2312"/>
                <w:kern w:val="0"/>
              </w:rPr>
              <w:t>结果应用方案</w:t>
            </w:r>
          </w:p>
        </w:tc>
        <w:tc>
          <w:tcPr>
            <w:tcW w:w="7420" w:type="dxa"/>
            <w:gridSpan w:val="8"/>
            <w:vAlign w:val="center"/>
          </w:tcPr>
          <w:p>
            <w:pPr>
              <w:widowControl/>
              <w:jc w:val="left"/>
              <w:rPr>
                <w:rFonts w:hint="eastAsia" w:ascii="仿宋_GB2312" w:hAnsi="宋体" w:eastAsia="仿宋_GB2312" w:cs="Times New Roman"/>
                <w:kern w:val="0"/>
                <w:lang w:eastAsia="zh-CN"/>
              </w:rPr>
            </w:pPr>
            <w:r>
              <w:rPr>
                <w:rFonts w:hint="eastAsia" w:ascii="仿宋_GB2312" w:hAnsi="宋体" w:eastAsia="仿宋_GB2312" w:cs="Times New Roman"/>
                <w:kern w:val="0"/>
                <w:lang w:eastAsia="zh-CN"/>
              </w:rPr>
              <w:t>无</w:t>
            </w:r>
          </w:p>
        </w:tc>
      </w:tr>
    </w:tbl>
    <w:p>
      <w:pPr>
        <w:keepNext w:val="0"/>
        <w:keepLines w:val="0"/>
        <w:pageBreakBefore w:val="0"/>
        <w:widowControl/>
        <w:kinsoku/>
        <w:wordWrap/>
        <w:overflowPunct/>
        <w:topLinePunct w:val="0"/>
        <w:autoSpaceDE/>
        <w:autoSpaceDN/>
        <w:bidi w:val="0"/>
        <w:adjustRightInd/>
        <w:snapToGrid/>
        <w:spacing w:line="280" w:lineRule="exact"/>
        <w:textAlignment w:val="auto"/>
        <w:rPr>
          <w:rFonts w:ascii="仿宋_GB2312" w:hAnsi="宋体" w:eastAsia="仿宋_GB2312" w:cs="Times New Roman"/>
          <w:kern w:val="0"/>
        </w:rPr>
      </w:pPr>
      <w:r>
        <w:rPr>
          <w:rFonts w:hint="eastAsia" w:ascii="仿宋_GB2312" w:hAnsi="宋体" w:eastAsia="仿宋_GB2312" w:cs="仿宋_GB2312"/>
          <w:kern w:val="0"/>
        </w:rPr>
        <w:t>备注：</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ascii="仿宋_GB2312" w:hAnsi="宋体" w:eastAsia="仿宋_GB2312" w:cs="Times New Roman"/>
          <w:kern w:val="0"/>
        </w:rPr>
      </w:pPr>
      <w:r>
        <w:rPr>
          <w:rFonts w:ascii="仿宋_GB2312" w:hAnsi="宋体" w:eastAsia="仿宋_GB2312" w:cs="仿宋_GB2312"/>
          <w:kern w:val="0"/>
        </w:rPr>
        <w:t>1.</w:t>
      </w:r>
      <w:r>
        <w:rPr>
          <w:rFonts w:hint="eastAsia" w:ascii="仿宋_GB2312" w:hAnsi="宋体" w:eastAsia="仿宋_GB2312" w:cs="仿宋_GB2312"/>
          <w:kern w:val="0"/>
        </w:rPr>
        <w:t>预算执行情况口径：预算数为调整后财政资金总额（包括上年结余结转），执行数为资金使用单位财政资金实际支出数。</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ascii="仿宋_GB2312" w:hAnsi="宋体" w:eastAsia="仿宋_GB2312" w:cs="Times New Roman"/>
          <w:kern w:val="0"/>
        </w:rPr>
      </w:pPr>
      <w:r>
        <w:rPr>
          <w:rFonts w:ascii="仿宋_GB2312" w:hAnsi="宋体" w:eastAsia="仿宋_GB2312" w:cs="仿宋_GB2312"/>
          <w:kern w:val="0"/>
        </w:rPr>
        <w:t>2.</w:t>
      </w:r>
      <w:r>
        <w:rPr>
          <w:rFonts w:hint="eastAsia" w:ascii="仿宋_GB2312" w:hAnsi="宋体" w:eastAsia="仿宋_GB2312" w:cs="仿宋_GB2312"/>
          <w:kern w:val="0"/>
        </w:rPr>
        <w:t>定量指标完成数汇总原则：绝对值直接累加计算，相对值按照资金额度加权平均计算。定量指标计分原则：正向指标（即目标值为≥</w:t>
      </w:r>
      <w:r>
        <w:rPr>
          <w:rFonts w:ascii="仿宋_GB2312" w:hAnsi="宋体" w:eastAsia="仿宋_GB2312" w:cs="仿宋_GB2312"/>
          <w:kern w:val="0"/>
        </w:rPr>
        <w:t>X,</w:t>
      </w:r>
      <w:r>
        <w:rPr>
          <w:rFonts w:hint="eastAsia" w:ascii="仿宋_GB2312" w:hAnsi="宋体" w:eastAsia="仿宋_GB2312" w:cs="仿宋_GB2312"/>
          <w:kern w:val="0"/>
        </w:rPr>
        <w:t>得分</w:t>
      </w:r>
      <w:r>
        <w:rPr>
          <w:rFonts w:ascii="仿宋_GB2312" w:hAnsi="宋体" w:eastAsia="仿宋_GB2312" w:cs="仿宋_GB2312"/>
          <w:kern w:val="0"/>
        </w:rPr>
        <w:t>=</w:t>
      </w:r>
      <w:r>
        <w:rPr>
          <w:rFonts w:hint="eastAsia" w:ascii="仿宋_GB2312" w:hAnsi="宋体" w:eastAsia="仿宋_GB2312" w:cs="仿宋_GB2312"/>
          <w:kern w:val="0"/>
        </w:rPr>
        <w:t>权重</w:t>
      </w:r>
      <w:r>
        <w:rPr>
          <w:rFonts w:ascii="仿宋_GB2312" w:hAnsi="宋体" w:eastAsia="仿宋_GB2312" w:cs="仿宋_GB2312"/>
          <w:kern w:val="0"/>
        </w:rPr>
        <w:t>*B/A</w:t>
      </w:r>
      <w:r>
        <w:rPr>
          <w:rFonts w:hint="eastAsia" w:ascii="仿宋_GB2312" w:hAnsi="宋体" w:eastAsia="仿宋_GB2312" w:cs="仿宋_GB2312"/>
          <w:kern w:val="0"/>
        </w:rPr>
        <w:t>），反向指标（即目标值为≤</w:t>
      </w:r>
      <w:r>
        <w:rPr>
          <w:rFonts w:ascii="仿宋_GB2312" w:hAnsi="宋体" w:eastAsia="仿宋_GB2312" w:cs="仿宋_GB2312"/>
          <w:kern w:val="0"/>
        </w:rPr>
        <w:t>X</w:t>
      </w:r>
      <w:r>
        <w:rPr>
          <w:rFonts w:hint="eastAsia" w:ascii="仿宋_GB2312" w:hAnsi="宋体" w:eastAsia="仿宋_GB2312" w:cs="仿宋_GB2312"/>
          <w:kern w:val="0"/>
        </w:rPr>
        <w:t>，得分</w:t>
      </w:r>
      <w:r>
        <w:rPr>
          <w:rFonts w:ascii="仿宋_GB2312" w:hAnsi="宋体" w:eastAsia="仿宋_GB2312" w:cs="仿宋_GB2312"/>
          <w:kern w:val="0"/>
        </w:rPr>
        <w:t>=</w:t>
      </w:r>
      <w:r>
        <w:rPr>
          <w:rFonts w:hint="eastAsia" w:ascii="仿宋_GB2312" w:hAnsi="宋体" w:eastAsia="仿宋_GB2312" w:cs="仿宋_GB2312"/>
          <w:kern w:val="0"/>
        </w:rPr>
        <w:t>权重</w:t>
      </w:r>
      <w:r>
        <w:rPr>
          <w:rFonts w:ascii="仿宋_GB2312" w:hAnsi="宋体" w:eastAsia="仿宋_GB2312" w:cs="仿宋_GB2312"/>
          <w:kern w:val="0"/>
        </w:rPr>
        <w:t>*A/B）</w:t>
      </w:r>
      <w:r>
        <w:rPr>
          <w:rFonts w:hint="eastAsia" w:ascii="仿宋_GB2312" w:hAnsi="宋体" w:eastAsia="仿宋_GB2312" w:cs="仿宋_GB2312"/>
          <w:kern w:val="0"/>
        </w:rPr>
        <w:t>，得分不得突破权重总额。定量指标先汇总完成数，再计算得分。</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ascii="仿宋_GB2312" w:hAnsi="宋体" w:eastAsia="仿宋_GB2312" w:cs="Times New Roman"/>
          <w:kern w:val="0"/>
        </w:rPr>
      </w:pPr>
      <w:r>
        <w:rPr>
          <w:rFonts w:ascii="仿宋_GB2312" w:hAnsi="宋体" w:eastAsia="仿宋_GB2312" w:cs="仿宋_GB2312"/>
          <w:kern w:val="0"/>
        </w:rPr>
        <w:t>3.</w:t>
      </w:r>
      <w:r>
        <w:rPr>
          <w:rFonts w:hint="eastAsia" w:ascii="仿宋_GB2312" w:hAnsi="宋体" w:eastAsia="仿宋_GB2312" w:cs="仿宋_GB2312"/>
          <w:kern w:val="0"/>
        </w:rPr>
        <w:t>定性指标计分原则：达成预期指标、部分达成预期指标并具有一定效果、未达成预期指标且效果较差三档，分别按照该指标对应分值区间</w:t>
      </w:r>
      <w:r>
        <w:rPr>
          <w:rFonts w:ascii="仿宋_GB2312" w:hAnsi="宋体" w:eastAsia="仿宋_GB2312" w:cs="仿宋_GB2312"/>
          <w:kern w:val="0"/>
        </w:rPr>
        <w:t>100-80%</w:t>
      </w:r>
      <w:r>
        <w:rPr>
          <w:rFonts w:hint="eastAsia" w:ascii="仿宋_GB2312" w:hAnsi="宋体" w:eastAsia="仿宋_GB2312" w:cs="仿宋_GB2312"/>
          <w:kern w:val="0"/>
        </w:rPr>
        <w:t>（含</w:t>
      </w:r>
      <w:r>
        <w:rPr>
          <w:rFonts w:ascii="仿宋_GB2312" w:hAnsi="宋体" w:eastAsia="仿宋_GB2312" w:cs="仿宋_GB2312"/>
          <w:kern w:val="0"/>
        </w:rPr>
        <w:t>80%</w:t>
      </w:r>
      <w:r>
        <w:rPr>
          <w:rFonts w:hint="eastAsia" w:ascii="仿宋_GB2312" w:hAnsi="宋体" w:eastAsia="仿宋_GB2312" w:cs="仿宋_GB2312"/>
          <w:kern w:val="0"/>
        </w:rPr>
        <w:t>）、</w:t>
      </w:r>
      <w:r>
        <w:rPr>
          <w:rFonts w:ascii="仿宋_GB2312" w:hAnsi="宋体" w:eastAsia="仿宋_GB2312" w:cs="仿宋_GB2312"/>
          <w:kern w:val="0"/>
        </w:rPr>
        <w:t>80-50%</w:t>
      </w:r>
      <w:r>
        <w:rPr>
          <w:rFonts w:hint="eastAsia" w:ascii="仿宋_GB2312" w:hAnsi="宋体" w:eastAsia="仿宋_GB2312" w:cs="仿宋_GB2312"/>
          <w:kern w:val="0"/>
        </w:rPr>
        <w:t>（含</w:t>
      </w:r>
      <w:r>
        <w:rPr>
          <w:rFonts w:ascii="仿宋_GB2312" w:hAnsi="宋体" w:eastAsia="仿宋_GB2312" w:cs="仿宋_GB2312"/>
          <w:kern w:val="0"/>
        </w:rPr>
        <w:t>50%</w:t>
      </w:r>
      <w:r>
        <w:rPr>
          <w:rFonts w:hint="eastAsia" w:ascii="仿宋_GB2312" w:hAnsi="宋体" w:eastAsia="仿宋_GB2312" w:cs="仿宋_GB2312"/>
          <w:kern w:val="0"/>
        </w:rPr>
        <w:t>）、</w:t>
      </w:r>
      <w:r>
        <w:rPr>
          <w:rFonts w:ascii="仿宋_GB2312" w:hAnsi="宋体" w:eastAsia="仿宋_GB2312" w:cs="仿宋_GB2312"/>
          <w:kern w:val="0"/>
        </w:rPr>
        <w:t>50-0%</w:t>
      </w:r>
      <w:r>
        <w:rPr>
          <w:rFonts w:hint="eastAsia" w:ascii="仿宋_GB2312" w:hAnsi="宋体" w:eastAsia="仿宋_GB2312" w:cs="仿宋_GB2312"/>
          <w:kern w:val="0"/>
        </w:rPr>
        <w:t>合理确定分值。汇总时，以资金额度为权重，对分值进行加权平均计算。</w:t>
      </w:r>
    </w:p>
    <w:p>
      <w:r>
        <w:rPr>
          <w:rFonts w:ascii="仿宋_GB2312" w:hAnsi="宋体" w:eastAsia="仿宋_GB2312" w:cs="仿宋_GB2312"/>
          <w:kern w:val="0"/>
        </w:rPr>
        <w:t>4.</w:t>
      </w:r>
      <w:r>
        <w:rPr>
          <w:rFonts w:hint="eastAsia" w:ascii="仿宋_GB2312" w:hAnsi="宋体" w:eastAsia="仿宋_GB2312" w:cs="仿宋_GB2312"/>
          <w:kern w:val="0"/>
        </w:rPr>
        <w:t>基于经济性和必要性等因素考虑，满意度指标暂可不作为必评指标。</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ViMWFkYzVmZmJhNTI5NzRlZDE4MjAxOThlZTRkMDIifQ=="/>
  </w:docVars>
  <w:rsids>
    <w:rsidRoot w:val="006936A7"/>
    <w:rsid w:val="00002503"/>
    <w:rsid w:val="00013B97"/>
    <w:rsid w:val="000315FD"/>
    <w:rsid w:val="000639B8"/>
    <w:rsid w:val="000675A3"/>
    <w:rsid w:val="00082E7B"/>
    <w:rsid w:val="00092618"/>
    <w:rsid w:val="000B599B"/>
    <w:rsid w:val="00122842"/>
    <w:rsid w:val="00135CAF"/>
    <w:rsid w:val="00207343"/>
    <w:rsid w:val="00213892"/>
    <w:rsid w:val="002645B9"/>
    <w:rsid w:val="002744D0"/>
    <w:rsid w:val="0029730F"/>
    <w:rsid w:val="002B315D"/>
    <w:rsid w:val="002D3079"/>
    <w:rsid w:val="002E6E21"/>
    <w:rsid w:val="00336E4C"/>
    <w:rsid w:val="004277E2"/>
    <w:rsid w:val="00454808"/>
    <w:rsid w:val="004B0542"/>
    <w:rsid w:val="004C70E3"/>
    <w:rsid w:val="004D5902"/>
    <w:rsid w:val="004F4681"/>
    <w:rsid w:val="0054044B"/>
    <w:rsid w:val="00543EF6"/>
    <w:rsid w:val="00552C91"/>
    <w:rsid w:val="00566763"/>
    <w:rsid w:val="005A1B6B"/>
    <w:rsid w:val="005A4D58"/>
    <w:rsid w:val="005D286B"/>
    <w:rsid w:val="005E12FD"/>
    <w:rsid w:val="006341ED"/>
    <w:rsid w:val="00650820"/>
    <w:rsid w:val="006936A7"/>
    <w:rsid w:val="006965E3"/>
    <w:rsid w:val="006A01AE"/>
    <w:rsid w:val="006A190B"/>
    <w:rsid w:val="006C7750"/>
    <w:rsid w:val="006F382A"/>
    <w:rsid w:val="00717A3F"/>
    <w:rsid w:val="007972B5"/>
    <w:rsid w:val="007D479B"/>
    <w:rsid w:val="007E4F58"/>
    <w:rsid w:val="00844644"/>
    <w:rsid w:val="008B5B64"/>
    <w:rsid w:val="008F435E"/>
    <w:rsid w:val="0090681D"/>
    <w:rsid w:val="009436AB"/>
    <w:rsid w:val="0097472F"/>
    <w:rsid w:val="00974E46"/>
    <w:rsid w:val="00A016A4"/>
    <w:rsid w:val="00A446FD"/>
    <w:rsid w:val="00A86BB1"/>
    <w:rsid w:val="00AF2DBF"/>
    <w:rsid w:val="00B06A06"/>
    <w:rsid w:val="00B93D14"/>
    <w:rsid w:val="00BD3CBE"/>
    <w:rsid w:val="00BF0274"/>
    <w:rsid w:val="00BF655F"/>
    <w:rsid w:val="00CA20FD"/>
    <w:rsid w:val="00CC3066"/>
    <w:rsid w:val="00CD0C8B"/>
    <w:rsid w:val="00CF49E5"/>
    <w:rsid w:val="00D049EC"/>
    <w:rsid w:val="00D54B62"/>
    <w:rsid w:val="00D67401"/>
    <w:rsid w:val="00D77CC0"/>
    <w:rsid w:val="00D844D8"/>
    <w:rsid w:val="00D97E5F"/>
    <w:rsid w:val="00DE353F"/>
    <w:rsid w:val="00E56204"/>
    <w:rsid w:val="00E7180D"/>
    <w:rsid w:val="00E91B84"/>
    <w:rsid w:val="00EA3101"/>
    <w:rsid w:val="00EB572F"/>
    <w:rsid w:val="00ED0793"/>
    <w:rsid w:val="00ED584C"/>
    <w:rsid w:val="00F0066A"/>
    <w:rsid w:val="00F15A98"/>
    <w:rsid w:val="00F570A0"/>
    <w:rsid w:val="00F84547"/>
    <w:rsid w:val="00FB21E4"/>
    <w:rsid w:val="035075F6"/>
    <w:rsid w:val="03FB0DF4"/>
    <w:rsid w:val="0C4E5E32"/>
    <w:rsid w:val="0FF21991"/>
    <w:rsid w:val="1183057E"/>
    <w:rsid w:val="131705E1"/>
    <w:rsid w:val="170B2BB3"/>
    <w:rsid w:val="19D305CB"/>
    <w:rsid w:val="1AC15A62"/>
    <w:rsid w:val="209A5AF5"/>
    <w:rsid w:val="21154D5A"/>
    <w:rsid w:val="294D3BB6"/>
    <w:rsid w:val="29A80723"/>
    <w:rsid w:val="2C076F19"/>
    <w:rsid w:val="350F7EFE"/>
    <w:rsid w:val="39273355"/>
    <w:rsid w:val="3AC702FC"/>
    <w:rsid w:val="497A5F98"/>
    <w:rsid w:val="49D246CF"/>
    <w:rsid w:val="55AF2676"/>
    <w:rsid w:val="57B81486"/>
    <w:rsid w:val="5842772A"/>
    <w:rsid w:val="58FD37D0"/>
    <w:rsid w:val="5B127639"/>
    <w:rsid w:val="5B1E01CB"/>
    <w:rsid w:val="5BE62C0B"/>
    <w:rsid w:val="5F6F16D0"/>
    <w:rsid w:val="6A155836"/>
    <w:rsid w:val="6BC849C4"/>
    <w:rsid w:val="6C7A5CFC"/>
    <w:rsid w:val="6F5E4911"/>
    <w:rsid w:val="6FCF2FC1"/>
    <w:rsid w:val="723A6C34"/>
    <w:rsid w:val="7334084B"/>
    <w:rsid w:val="74B15375"/>
    <w:rsid w:val="79273E57"/>
    <w:rsid w:val="7A293BFF"/>
    <w:rsid w:val="7A454EDD"/>
    <w:rsid w:val="7B317800"/>
    <w:rsid w:val="BFAF921E"/>
    <w:rsid w:val="EDFB8E90"/>
    <w:rsid w:val="EFFBB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等线"/>
      <w:kern w:val="2"/>
      <w:sz w:val="21"/>
      <w:szCs w:val="21"/>
      <w:lang w:val="en-US" w:eastAsia="zh-CN" w:bidi="ar-SA"/>
    </w:rPr>
  </w:style>
  <w:style w:type="paragraph" w:styleId="4">
    <w:name w:val="heading 1"/>
    <w:basedOn w:val="1"/>
    <w:next w:val="1"/>
    <w:link w:val="25"/>
    <w:qFormat/>
    <w:uiPriority w:val="9"/>
    <w:pPr>
      <w:keepNext/>
      <w:keepLines/>
      <w:spacing w:before="240" w:after="120"/>
      <w:jc w:val="center"/>
      <w:outlineLvl w:val="0"/>
    </w:pPr>
    <w:rPr>
      <w:rFonts w:eastAsia="方正小标宋简体"/>
      <w:b/>
      <w:bCs/>
      <w:kern w:val="44"/>
      <w:sz w:val="44"/>
      <w:szCs w:val="44"/>
    </w:rPr>
  </w:style>
  <w:style w:type="paragraph" w:styleId="5">
    <w:name w:val="heading 2"/>
    <w:basedOn w:val="1"/>
    <w:next w:val="1"/>
    <w:link w:val="26"/>
    <w:qFormat/>
    <w:uiPriority w:val="99"/>
    <w:pPr>
      <w:keepNext/>
      <w:keepLines/>
      <w:jc w:val="left"/>
      <w:outlineLvl w:val="1"/>
    </w:pPr>
    <w:rPr>
      <w:rFonts w:eastAsia="黑体"/>
      <w:b/>
      <w:bCs/>
      <w:kern w:val="0"/>
      <w:sz w:val="30"/>
      <w:szCs w:val="32"/>
    </w:rPr>
  </w:style>
  <w:style w:type="paragraph" w:styleId="6">
    <w:name w:val="heading 3"/>
    <w:basedOn w:val="1"/>
    <w:next w:val="1"/>
    <w:link w:val="27"/>
    <w:qFormat/>
    <w:uiPriority w:val="9"/>
    <w:pPr>
      <w:keepNext/>
      <w:keepLines/>
      <w:jc w:val="left"/>
      <w:outlineLvl w:val="2"/>
    </w:pPr>
    <w:rPr>
      <w:b/>
      <w:bCs/>
      <w:kern w:val="0"/>
      <w:szCs w:val="32"/>
    </w:rPr>
  </w:style>
  <w:style w:type="paragraph" w:styleId="7">
    <w:name w:val="heading 4"/>
    <w:basedOn w:val="1"/>
    <w:next w:val="1"/>
    <w:link w:val="28"/>
    <w:qFormat/>
    <w:uiPriority w:val="9"/>
    <w:pPr>
      <w:keepNext/>
      <w:keepLines/>
      <w:outlineLvl w:val="3"/>
    </w:pPr>
    <w:rPr>
      <w:b/>
      <w:bCs/>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afterLines="0" w:afterAutospacing="0"/>
      <w:ind w:left="420" w:leftChars="200"/>
    </w:pPr>
  </w:style>
  <w:style w:type="paragraph" w:styleId="8">
    <w:name w:val="annotation text"/>
    <w:basedOn w:val="1"/>
    <w:link w:val="29"/>
    <w:unhideWhenUsed/>
    <w:qFormat/>
    <w:uiPriority w:val="99"/>
    <w:pPr>
      <w:jc w:val="left"/>
    </w:pPr>
  </w:style>
  <w:style w:type="paragraph" w:styleId="9">
    <w:name w:val="toc 3"/>
    <w:basedOn w:val="1"/>
    <w:next w:val="1"/>
    <w:unhideWhenUsed/>
    <w:qFormat/>
    <w:uiPriority w:val="39"/>
    <w:pPr>
      <w:ind w:left="840" w:leftChars="400"/>
    </w:pPr>
  </w:style>
  <w:style w:type="paragraph" w:styleId="10">
    <w:name w:val="Date"/>
    <w:basedOn w:val="1"/>
    <w:next w:val="1"/>
    <w:link w:val="37"/>
    <w:semiHidden/>
    <w:qFormat/>
    <w:uiPriority w:val="99"/>
    <w:pPr>
      <w:ind w:left="100" w:leftChars="2500"/>
    </w:pPr>
  </w:style>
  <w:style w:type="paragraph" w:styleId="11">
    <w:name w:val="Balloon Text"/>
    <w:basedOn w:val="1"/>
    <w:link w:val="38"/>
    <w:semiHidden/>
    <w:qFormat/>
    <w:uiPriority w:val="99"/>
    <w:rPr>
      <w:sz w:val="18"/>
      <w:szCs w:val="18"/>
    </w:rPr>
  </w:style>
  <w:style w:type="paragraph" w:styleId="12">
    <w:name w:val="footer"/>
    <w:basedOn w:val="1"/>
    <w:link w:val="39"/>
    <w:qFormat/>
    <w:uiPriority w:val="99"/>
    <w:pPr>
      <w:tabs>
        <w:tab w:val="center" w:pos="4153"/>
        <w:tab w:val="right" w:pos="8306"/>
      </w:tabs>
      <w:snapToGrid w:val="0"/>
      <w:jc w:val="left"/>
    </w:pPr>
    <w:rPr>
      <w:sz w:val="18"/>
      <w:szCs w:val="18"/>
    </w:rPr>
  </w:style>
  <w:style w:type="paragraph" w:styleId="13">
    <w:name w:val="header"/>
    <w:basedOn w:val="1"/>
    <w:link w:val="40"/>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tabs>
        <w:tab w:val="right" w:leader="dot" w:pos="9060"/>
      </w:tabs>
      <w:spacing w:line="440" w:lineRule="exact"/>
    </w:pPr>
    <w:rPr>
      <w:rFonts w:eastAsia="黑体"/>
      <w:b/>
      <w:sz w:val="24"/>
    </w:rPr>
  </w:style>
  <w:style w:type="paragraph" w:styleId="15">
    <w:name w:val="toc 2"/>
    <w:basedOn w:val="1"/>
    <w:next w:val="1"/>
    <w:unhideWhenUsed/>
    <w:qFormat/>
    <w:uiPriority w:val="39"/>
    <w:pPr>
      <w:ind w:left="420" w:leftChars="200"/>
    </w:pPr>
  </w:style>
  <w:style w:type="paragraph" w:styleId="16">
    <w:name w:val="Normal (Web)"/>
    <w:basedOn w:val="1"/>
    <w:qFormat/>
    <w:uiPriority w:val="99"/>
    <w:pPr>
      <w:spacing w:before="100" w:beforeAutospacing="1" w:after="100" w:afterAutospacing="1"/>
      <w:jc w:val="left"/>
    </w:pPr>
    <w:rPr>
      <w:rFonts w:ascii="Calibri" w:hAnsi="Calibri" w:eastAsia="宋体" w:cs="Calibri"/>
      <w:kern w:val="0"/>
      <w:sz w:val="24"/>
      <w:szCs w:val="24"/>
    </w:rPr>
  </w:style>
  <w:style w:type="paragraph" w:styleId="17">
    <w:name w:val="annotation subject"/>
    <w:basedOn w:val="8"/>
    <w:next w:val="8"/>
    <w:link w:val="36"/>
    <w:semiHidden/>
    <w:qFormat/>
    <w:uiPriority w:val="99"/>
    <w:rPr>
      <w:b/>
      <w:bCs/>
    </w:rPr>
  </w:style>
  <w:style w:type="character" w:styleId="20">
    <w:name w:val="Strong"/>
    <w:qFormat/>
    <w:uiPriority w:val="22"/>
    <w:rPr>
      <w:b/>
      <w:bCs/>
    </w:rPr>
  </w:style>
  <w:style w:type="character" w:styleId="21">
    <w:name w:val="page number"/>
    <w:basedOn w:val="19"/>
    <w:qFormat/>
    <w:uiPriority w:val="99"/>
  </w:style>
  <w:style w:type="character" w:styleId="22">
    <w:name w:val="FollowedHyperlink"/>
    <w:semiHidden/>
    <w:qFormat/>
    <w:uiPriority w:val="99"/>
    <w:rPr>
      <w:color w:val="800080"/>
      <w:u w:val="single"/>
    </w:rPr>
  </w:style>
  <w:style w:type="character" w:styleId="23">
    <w:name w:val="Hyperlink"/>
    <w:qFormat/>
    <w:uiPriority w:val="99"/>
    <w:rPr>
      <w:color w:val="0000FF"/>
      <w:u w:val="single"/>
    </w:rPr>
  </w:style>
  <w:style w:type="character" w:styleId="24">
    <w:name w:val="annotation reference"/>
    <w:unhideWhenUsed/>
    <w:qFormat/>
    <w:uiPriority w:val="99"/>
    <w:rPr>
      <w:sz w:val="21"/>
      <w:szCs w:val="21"/>
    </w:rPr>
  </w:style>
  <w:style w:type="character" w:customStyle="1" w:styleId="25">
    <w:name w:val="标题 1 Char"/>
    <w:link w:val="4"/>
    <w:qFormat/>
    <w:uiPriority w:val="9"/>
    <w:rPr>
      <w:rFonts w:ascii="Times New Roman" w:hAnsi="Times New Roman" w:eastAsia="方正小标宋简体"/>
      <w:b/>
      <w:bCs/>
      <w:kern w:val="44"/>
      <w:sz w:val="44"/>
      <w:szCs w:val="44"/>
    </w:rPr>
  </w:style>
  <w:style w:type="character" w:customStyle="1" w:styleId="26">
    <w:name w:val="标题 2 Char"/>
    <w:link w:val="5"/>
    <w:qFormat/>
    <w:uiPriority w:val="9"/>
    <w:rPr>
      <w:rFonts w:ascii="Times New Roman" w:hAnsi="Times New Roman" w:eastAsia="黑体"/>
      <w:b/>
      <w:bCs/>
      <w:sz w:val="30"/>
      <w:szCs w:val="32"/>
    </w:rPr>
  </w:style>
  <w:style w:type="character" w:customStyle="1" w:styleId="27">
    <w:name w:val="标题 3 Char"/>
    <w:link w:val="6"/>
    <w:qFormat/>
    <w:uiPriority w:val="9"/>
    <w:rPr>
      <w:rFonts w:ascii="Times New Roman" w:hAnsi="Times New Roman" w:eastAsia="仿宋_GB2312"/>
      <w:b/>
      <w:bCs/>
      <w:sz w:val="28"/>
      <w:szCs w:val="32"/>
    </w:rPr>
  </w:style>
  <w:style w:type="character" w:customStyle="1" w:styleId="28">
    <w:name w:val="标题 4 Char"/>
    <w:link w:val="7"/>
    <w:qFormat/>
    <w:uiPriority w:val="9"/>
    <w:rPr>
      <w:rFonts w:ascii="Times New Roman" w:hAnsi="Times New Roman" w:eastAsia="仿宋_GB2312"/>
      <w:b/>
      <w:bCs/>
      <w:kern w:val="2"/>
      <w:sz w:val="28"/>
      <w:szCs w:val="28"/>
    </w:rPr>
  </w:style>
  <w:style w:type="character" w:customStyle="1" w:styleId="29">
    <w:name w:val="批注文字 Char"/>
    <w:link w:val="8"/>
    <w:qFormat/>
    <w:uiPriority w:val="99"/>
    <w:rPr>
      <w:rFonts w:ascii="Times New Roman" w:hAnsi="Times New Roman" w:eastAsia="仿宋_GB2312"/>
      <w:kern w:val="2"/>
      <w:sz w:val="28"/>
      <w:szCs w:val="24"/>
    </w:rPr>
  </w:style>
  <w:style w:type="paragraph" w:styleId="30">
    <w:name w:val="No Spacing"/>
    <w:qFormat/>
    <w:uiPriority w:val="1"/>
    <w:pPr>
      <w:widowControl w:val="0"/>
      <w:topLinePunct/>
      <w:ind w:firstLine="200" w:firstLineChars="200"/>
      <w:jc w:val="both"/>
    </w:pPr>
    <w:rPr>
      <w:rFonts w:ascii="Times New Roman" w:hAnsi="Times New Roman" w:eastAsia="仿宋_GB2312" w:cs="Times New Roman"/>
      <w:kern w:val="2"/>
      <w:sz w:val="28"/>
      <w:szCs w:val="24"/>
      <w:lang w:val="en-US" w:eastAsia="zh-CN" w:bidi="ar-SA"/>
    </w:rPr>
  </w:style>
  <w:style w:type="paragraph" w:styleId="31">
    <w:name w:val="List Paragraph"/>
    <w:basedOn w:val="1"/>
    <w:qFormat/>
    <w:uiPriority w:val="99"/>
    <w:pPr>
      <w:ind w:firstLine="420"/>
    </w:pPr>
  </w:style>
  <w:style w:type="paragraph" w:customStyle="1" w:styleId="32">
    <w:name w:val="TOC Heading"/>
    <w:basedOn w:val="4"/>
    <w:next w:val="1"/>
    <w:qFormat/>
    <w:uiPriority w:val="39"/>
    <w:pPr>
      <w:widowControl/>
      <w:spacing w:before="480" w:after="0" w:line="276" w:lineRule="auto"/>
      <w:jc w:val="left"/>
      <w:outlineLvl w:val="9"/>
    </w:pPr>
    <w:rPr>
      <w:rFonts w:ascii="Cambria" w:hAnsi="Cambria" w:eastAsia="宋体"/>
      <w:color w:val="365F91"/>
      <w:kern w:val="0"/>
      <w:sz w:val="28"/>
      <w:szCs w:val="28"/>
    </w:rPr>
  </w:style>
  <w:style w:type="paragraph" w:customStyle="1" w:styleId="33">
    <w:name w:val="目录 31"/>
    <w:basedOn w:val="1"/>
    <w:next w:val="1"/>
    <w:unhideWhenUsed/>
    <w:qFormat/>
    <w:uiPriority w:val="39"/>
    <w:pPr>
      <w:ind w:left="560"/>
      <w:jc w:val="left"/>
    </w:pPr>
    <w:rPr>
      <w:rFonts w:ascii="Calibri" w:hAnsi="Calibri" w:cs="Calibri"/>
      <w:i/>
      <w:iCs/>
      <w:sz w:val="20"/>
      <w:szCs w:val="20"/>
    </w:rPr>
  </w:style>
  <w:style w:type="paragraph" w:customStyle="1" w:styleId="34">
    <w:name w:val="目录 11"/>
    <w:basedOn w:val="1"/>
    <w:next w:val="1"/>
    <w:unhideWhenUsed/>
    <w:qFormat/>
    <w:uiPriority w:val="39"/>
    <w:pPr>
      <w:spacing w:before="120" w:after="120"/>
      <w:jc w:val="left"/>
    </w:pPr>
    <w:rPr>
      <w:rFonts w:ascii="Calibri" w:hAnsi="Calibri" w:cs="Calibri"/>
      <w:b/>
      <w:bCs/>
      <w:caps/>
      <w:sz w:val="20"/>
      <w:szCs w:val="20"/>
    </w:rPr>
  </w:style>
  <w:style w:type="paragraph" w:customStyle="1" w:styleId="35">
    <w:name w:val="目录 21"/>
    <w:basedOn w:val="1"/>
    <w:next w:val="1"/>
    <w:unhideWhenUsed/>
    <w:qFormat/>
    <w:uiPriority w:val="39"/>
    <w:pPr>
      <w:ind w:left="280"/>
      <w:jc w:val="left"/>
    </w:pPr>
    <w:rPr>
      <w:rFonts w:ascii="Calibri" w:hAnsi="Calibri" w:cs="Calibri"/>
      <w:smallCaps/>
      <w:sz w:val="20"/>
      <w:szCs w:val="20"/>
    </w:rPr>
  </w:style>
  <w:style w:type="character" w:customStyle="1" w:styleId="36">
    <w:name w:val="批注主题 Char"/>
    <w:basedOn w:val="29"/>
    <w:link w:val="17"/>
    <w:semiHidden/>
    <w:qFormat/>
    <w:uiPriority w:val="99"/>
    <w:rPr>
      <w:rFonts w:ascii="等线" w:hAnsi="等线" w:eastAsia="等线" w:cs="等线"/>
      <w:b/>
      <w:bCs/>
      <w:sz w:val="21"/>
      <w:szCs w:val="21"/>
    </w:rPr>
  </w:style>
  <w:style w:type="character" w:customStyle="1" w:styleId="37">
    <w:name w:val="日期 Char"/>
    <w:basedOn w:val="19"/>
    <w:link w:val="10"/>
    <w:semiHidden/>
    <w:qFormat/>
    <w:uiPriority w:val="99"/>
    <w:rPr>
      <w:rFonts w:ascii="等线" w:hAnsi="等线" w:eastAsia="等线" w:cs="等线"/>
      <w:kern w:val="2"/>
      <w:sz w:val="21"/>
      <w:szCs w:val="21"/>
    </w:rPr>
  </w:style>
  <w:style w:type="character" w:customStyle="1" w:styleId="38">
    <w:name w:val="批注框文本 Char"/>
    <w:basedOn w:val="19"/>
    <w:link w:val="11"/>
    <w:semiHidden/>
    <w:qFormat/>
    <w:uiPriority w:val="99"/>
    <w:rPr>
      <w:rFonts w:ascii="等线" w:hAnsi="等线" w:eastAsia="等线" w:cs="等线"/>
      <w:kern w:val="2"/>
      <w:sz w:val="18"/>
      <w:szCs w:val="18"/>
    </w:rPr>
  </w:style>
  <w:style w:type="character" w:customStyle="1" w:styleId="39">
    <w:name w:val="页脚 Char"/>
    <w:basedOn w:val="19"/>
    <w:link w:val="12"/>
    <w:qFormat/>
    <w:uiPriority w:val="99"/>
    <w:rPr>
      <w:rFonts w:ascii="等线" w:hAnsi="等线" w:eastAsia="等线" w:cs="等线"/>
      <w:kern w:val="2"/>
      <w:sz w:val="18"/>
      <w:szCs w:val="18"/>
    </w:rPr>
  </w:style>
  <w:style w:type="character" w:customStyle="1" w:styleId="40">
    <w:name w:val="页眉 Char"/>
    <w:basedOn w:val="19"/>
    <w:link w:val="13"/>
    <w:qFormat/>
    <w:uiPriority w:val="99"/>
    <w:rPr>
      <w:rFonts w:ascii="等线" w:hAnsi="等线" w:eastAsia="等线" w:cs="等线"/>
      <w:kern w:val="2"/>
      <w:sz w:val="18"/>
      <w:szCs w:val="18"/>
    </w:rPr>
  </w:style>
  <w:style w:type="paragraph" w:customStyle="1" w:styleId="41">
    <w:name w:val="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42">
    <w:name w:val="xl77"/>
    <w:basedOn w:val="1"/>
    <w:qFormat/>
    <w:uiPriority w:val="99"/>
    <w:pPr>
      <w:widowControl/>
      <w:shd w:val="clear" w:color="000000" w:fill="FFFFFF"/>
      <w:spacing w:before="100" w:beforeAutospacing="1" w:after="100" w:afterAutospacing="1"/>
      <w:jc w:val="left"/>
    </w:pPr>
    <w:rPr>
      <w:rFonts w:ascii="宋体" w:hAnsi="宋体" w:eastAsia="宋体" w:cs="宋体"/>
      <w:kern w:val="0"/>
      <w:sz w:val="20"/>
      <w:szCs w:val="20"/>
    </w:rPr>
  </w:style>
  <w:style w:type="paragraph" w:customStyle="1" w:styleId="43">
    <w:name w:val="xl78"/>
    <w:basedOn w:val="1"/>
    <w:qFormat/>
    <w:uiPriority w:val="99"/>
    <w:pPr>
      <w:widowControl/>
      <w:shd w:val="clear" w:color="000000" w:fill="FFFFFF"/>
      <w:spacing w:before="100" w:beforeAutospacing="1" w:after="100" w:afterAutospacing="1"/>
      <w:jc w:val="center"/>
      <w:textAlignment w:val="center"/>
    </w:pPr>
    <w:rPr>
      <w:rFonts w:ascii="宋体" w:hAnsi="宋体" w:eastAsia="宋体" w:cs="宋体"/>
      <w:kern w:val="0"/>
      <w:sz w:val="20"/>
      <w:szCs w:val="20"/>
    </w:rPr>
  </w:style>
  <w:style w:type="paragraph" w:customStyle="1" w:styleId="44">
    <w:name w:val="xl79"/>
    <w:basedOn w:val="1"/>
    <w:qFormat/>
    <w:uiPriority w:val="99"/>
    <w:pPr>
      <w:widowControl/>
      <w:pBdr>
        <w:top w:val="single" w:color="auto" w:sz="4" w:space="0"/>
        <w:left w:val="single" w:color="auto" w:sz="4" w:space="0"/>
        <w:bottom w:val="single" w:color="auto" w:sz="4" w:space="0"/>
      </w:pBdr>
      <w:shd w:val="clear" w:color="000000" w:fill="C0C0C0"/>
      <w:spacing w:before="100" w:beforeAutospacing="1" w:after="100" w:afterAutospacing="1"/>
      <w:jc w:val="left"/>
      <w:textAlignment w:val="center"/>
    </w:pPr>
    <w:rPr>
      <w:rFonts w:ascii="宋体" w:hAnsi="宋体" w:eastAsia="宋体" w:cs="宋体"/>
      <w:kern w:val="0"/>
      <w:sz w:val="20"/>
      <w:szCs w:val="20"/>
    </w:rPr>
  </w:style>
  <w:style w:type="paragraph" w:customStyle="1" w:styleId="45">
    <w:name w:val="xl80"/>
    <w:basedOn w:val="1"/>
    <w:qFormat/>
    <w:uiPriority w:val="99"/>
    <w:pPr>
      <w:widowControl/>
      <w:pBdr>
        <w:top w:val="single" w:color="auto" w:sz="4" w:space="0"/>
        <w:left w:val="single" w:color="auto" w:sz="4" w:space="0"/>
        <w:bottom w:val="single" w:color="auto" w:sz="4" w:space="0"/>
      </w:pBdr>
      <w:shd w:val="clear" w:color="000000" w:fill="C0C0FF"/>
      <w:spacing w:before="100" w:beforeAutospacing="1" w:after="100" w:afterAutospacing="1"/>
      <w:jc w:val="right"/>
      <w:textAlignment w:val="center"/>
    </w:pPr>
    <w:rPr>
      <w:rFonts w:ascii="宋体" w:hAnsi="宋体" w:eastAsia="宋体" w:cs="宋体"/>
      <w:kern w:val="0"/>
      <w:sz w:val="20"/>
      <w:szCs w:val="20"/>
    </w:rPr>
  </w:style>
  <w:style w:type="paragraph" w:customStyle="1" w:styleId="46">
    <w:name w:val="xl81"/>
    <w:basedOn w:val="1"/>
    <w:qFormat/>
    <w:uiPriority w:val="99"/>
    <w:pPr>
      <w:widowControl/>
      <w:pBdr>
        <w:top w:val="single" w:color="auto" w:sz="4" w:space="0"/>
        <w:left w:val="single" w:color="auto" w:sz="4" w:space="0"/>
        <w:bottom w:val="single" w:color="auto" w:sz="4" w:space="0"/>
      </w:pBdr>
      <w:shd w:val="clear" w:color="000000" w:fill="FFFFC0"/>
      <w:spacing w:before="100" w:beforeAutospacing="1" w:after="100" w:afterAutospacing="1"/>
      <w:jc w:val="right"/>
      <w:textAlignment w:val="center"/>
    </w:pPr>
    <w:rPr>
      <w:rFonts w:ascii="宋体" w:hAnsi="宋体" w:eastAsia="宋体" w:cs="宋体"/>
      <w:kern w:val="0"/>
      <w:sz w:val="20"/>
      <w:szCs w:val="20"/>
    </w:rPr>
  </w:style>
  <w:style w:type="paragraph" w:customStyle="1" w:styleId="47">
    <w:name w:val="xl82"/>
    <w:basedOn w:val="1"/>
    <w:qFormat/>
    <w:uiPriority w:val="99"/>
    <w:pPr>
      <w:widowControl/>
      <w:pBdr>
        <w:top w:val="single" w:color="auto" w:sz="4" w:space="0"/>
        <w:left w:val="single" w:color="auto" w:sz="4" w:space="0"/>
        <w:bottom w:val="single" w:color="auto" w:sz="4" w:space="0"/>
      </w:pBdr>
      <w:shd w:val="clear" w:color="000000" w:fill="C0C0FF"/>
      <w:spacing w:before="100" w:beforeAutospacing="1" w:after="100" w:afterAutospacing="1"/>
      <w:jc w:val="right"/>
      <w:textAlignment w:val="center"/>
    </w:pPr>
    <w:rPr>
      <w:rFonts w:ascii="宋体" w:hAnsi="宋体" w:eastAsia="宋体" w:cs="宋体"/>
      <w:kern w:val="0"/>
      <w:sz w:val="20"/>
      <w:szCs w:val="20"/>
    </w:rPr>
  </w:style>
  <w:style w:type="paragraph" w:customStyle="1" w:styleId="48">
    <w:name w:val="xl83"/>
    <w:basedOn w:val="1"/>
    <w:qFormat/>
    <w:uiPriority w:val="99"/>
    <w:pPr>
      <w:widowControl/>
      <w:pBdr>
        <w:top w:val="single" w:color="auto" w:sz="4" w:space="0"/>
        <w:left w:val="single" w:color="auto" w:sz="4" w:space="0"/>
        <w:bottom w:val="single" w:color="auto" w:sz="4" w:space="0"/>
      </w:pBdr>
      <w:shd w:val="clear" w:color="000000" w:fill="FFFFC0"/>
      <w:spacing w:before="100" w:beforeAutospacing="1" w:after="100" w:afterAutospacing="1"/>
      <w:jc w:val="right"/>
      <w:textAlignment w:val="center"/>
    </w:pPr>
    <w:rPr>
      <w:rFonts w:ascii="宋体" w:hAnsi="宋体" w:eastAsia="宋体" w:cs="宋体"/>
      <w:kern w:val="0"/>
      <w:sz w:val="20"/>
      <w:szCs w:val="20"/>
    </w:rPr>
  </w:style>
  <w:style w:type="paragraph" w:customStyle="1" w:styleId="49">
    <w:name w:val="xl84"/>
    <w:basedOn w:val="1"/>
    <w:qFormat/>
    <w:uiPriority w:val="99"/>
    <w:pPr>
      <w:widowControl/>
      <w:pBdr>
        <w:left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50">
    <w:name w:val="xl85"/>
    <w:basedOn w:val="1"/>
    <w:qFormat/>
    <w:uiPriority w:val="99"/>
    <w:pPr>
      <w:widowControl/>
      <w:pBdr>
        <w:top w:val="single" w:color="auto" w:sz="4" w:space="0"/>
        <w:left w:val="single" w:color="auto" w:sz="4" w:space="0"/>
        <w:bottom w:val="single" w:color="auto" w:sz="4" w:space="0"/>
      </w:pBdr>
      <w:shd w:val="clear" w:color="000000" w:fill="C0C0FF"/>
      <w:spacing w:before="100" w:beforeAutospacing="1" w:after="100" w:afterAutospacing="1"/>
      <w:jc w:val="left"/>
      <w:textAlignment w:val="center"/>
    </w:pPr>
    <w:rPr>
      <w:rFonts w:ascii="宋体" w:hAnsi="宋体" w:eastAsia="宋体" w:cs="宋体"/>
      <w:kern w:val="0"/>
      <w:sz w:val="20"/>
      <w:szCs w:val="20"/>
    </w:rPr>
  </w:style>
  <w:style w:type="paragraph" w:customStyle="1" w:styleId="51">
    <w:name w:val="xl86"/>
    <w:basedOn w:val="1"/>
    <w:qFormat/>
    <w:uiPriority w:val="99"/>
    <w:pPr>
      <w:widowControl/>
      <w:pBdr>
        <w:top w:val="single" w:color="auto" w:sz="4" w:space="0"/>
        <w:left w:val="single" w:color="auto" w:sz="4" w:space="0"/>
        <w:bottom w:val="single" w:color="auto" w:sz="4" w:space="0"/>
      </w:pBdr>
      <w:shd w:val="clear" w:color="000000" w:fill="FFFFC0"/>
      <w:spacing w:before="100" w:beforeAutospacing="1" w:after="100" w:afterAutospacing="1"/>
      <w:jc w:val="right"/>
      <w:textAlignment w:val="center"/>
    </w:pPr>
    <w:rPr>
      <w:rFonts w:ascii="宋体" w:hAnsi="宋体" w:eastAsia="宋体" w:cs="宋体"/>
      <w:kern w:val="0"/>
      <w:sz w:val="20"/>
      <w:szCs w:val="20"/>
    </w:rPr>
  </w:style>
  <w:style w:type="paragraph" w:customStyle="1" w:styleId="52">
    <w:name w:val="xl87"/>
    <w:basedOn w:val="1"/>
    <w:qFormat/>
    <w:uiPriority w:val="99"/>
    <w:pPr>
      <w:widowControl/>
      <w:pBdr>
        <w:top w:val="single" w:color="auto" w:sz="4" w:space="0"/>
        <w:left w:val="single" w:color="auto" w:sz="4" w:space="0"/>
        <w:bottom w:val="single" w:color="auto" w:sz="4" w:space="0"/>
      </w:pBdr>
      <w:shd w:val="clear" w:color="000000" w:fill="FFFFC0"/>
      <w:spacing w:before="100" w:beforeAutospacing="1" w:after="100" w:afterAutospacing="1"/>
      <w:jc w:val="right"/>
      <w:textAlignment w:val="center"/>
    </w:pPr>
    <w:rPr>
      <w:rFonts w:ascii="宋体" w:hAnsi="宋体" w:eastAsia="宋体" w:cs="宋体"/>
      <w:kern w:val="0"/>
      <w:sz w:val="20"/>
      <w:szCs w:val="20"/>
    </w:rPr>
  </w:style>
  <w:style w:type="paragraph" w:customStyle="1" w:styleId="53">
    <w:name w:val="xl88"/>
    <w:basedOn w:val="1"/>
    <w:qFormat/>
    <w:uiPriority w:val="99"/>
    <w:pPr>
      <w:widowControl/>
      <w:pBdr>
        <w:top w:val="single" w:color="auto" w:sz="4" w:space="0"/>
        <w:left w:val="single" w:color="auto" w:sz="4" w:space="0"/>
        <w:bottom w:val="single" w:color="auto" w:sz="4" w:space="0"/>
      </w:pBdr>
      <w:shd w:val="clear" w:color="000000" w:fill="FFFFC0"/>
      <w:spacing w:before="100" w:beforeAutospacing="1" w:after="100" w:afterAutospacing="1"/>
      <w:jc w:val="right"/>
      <w:textAlignment w:val="center"/>
    </w:pPr>
    <w:rPr>
      <w:rFonts w:ascii="宋体" w:hAnsi="宋体" w:eastAsia="宋体" w:cs="宋体"/>
      <w:kern w:val="0"/>
      <w:sz w:val="20"/>
      <w:szCs w:val="20"/>
    </w:rPr>
  </w:style>
  <w:style w:type="paragraph" w:customStyle="1" w:styleId="54">
    <w:name w:val="xl89"/>
    <w:basedOn w:val="1"/>
    <w:qFormat/>
    <w:uiPriority w:val="99"/>
    <w:pPr>
      <w:widowControl/>
      <w:pBdr>
        <w:top w:val="single" w:color="auto" w:sz="4" w:space="0"/>
        <w:left w:val="single" w:color="auto" w:sz="4" w:space="0"/>
        <w:bottom w:val="single" w:color="auto" w:sz="4" w:space="0"/>
      </w:pBdr>
      <w:shd w:val="clear" w:color="000000" w:fill="C0C0FF"/>
      <w:spacing w:before="100" w:beforeAutospacing="1" w:after="100" w:afterAutospacing="1"/>
      <w:jc w:val="right"/>
      <w:textAlignment w:val="center"/>
    </w:pPr>
    <w:rPr>
      <w:rFonts w:ascii="宋体" w:hAnsi="宋体" w:eastAsia="宋体" w:cs="宋体"/>
      <w:kern w:val="0"/>
      <w:sz w:val="20"/>
      <w:szCs w:val="20"/>
    </w:rPr>
  </w:style>
  <w:style w:type="paragraph" w:customStyle="1" w:styleId="55">
    <w:name w:val="xl90"/>
    <w:basedOn w:val="1"/>
    <w:qFormat/>
    <w:uiPriority w:val="99"/>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56">
    <w:name w:val="xl91"/>
    <w:basedOn w:val="1"/>
    <w:qFormat/>
    <w:uiPriority w:val="99"/>
    <w:pPr>
      <w:widowControl/>
      <w:pBdr>
        <w:top w:val="single" w:color="auto" w:sz="4" w:space="0"/>
        <w:left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57">
    <w:name w:val="xl92"/>
    <w:basedOn w:val="1"/>
    <w:qFormat/>
    <w:uiPriority w:val="99"/>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58">
    <w:name w:val="xl93"/>
    <w:basedOn w:val="1"/>
    <w:qFormat/>
    <w:uiPriority w:val="99"/>
    <w:pPr>
      <w:widowControl/>
      <w:pBdr>
        <w:top w:val="single" w:color="auto" w:sz="4" w:space="0"/>
        <w:left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59">
    <w:name w:val="xl94"/>
    <w:basedOn w:val="1"/>
    <w:qFormat/>
    <w:uiPriority w:val="99"/>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60">
    <w:name w:val="xl95"/>
    <w:basedOn w:val="1"/>
    <w:qFormat/>
    <w:uiPriority w:val="99"/>
    <w:pPr>
      <w:widowControl/>
      <w:pBdr>
        <w:left w:val="single" w:color="auto" w:sz="4" w:space="0"/>
        <w:bottom w:val="single" w:color="auto" w:sz="4" w:space="0"/>
        <w:right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61">
    <w:name w:val="xl96"/>
    <w:basedOn w:val="1"/>
    <w:qFormat/>
    <w:uiPriority w:val="99"/>
    <w:pPr>
      <w:widowControl/>
      <w:pBdr>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62">
    <w:name w:val="xl97"/>
    <w:basedOn w:val="1"/>
    <w:qFormat/>
    <w:uiPriority w:val="99"/>
    <w:pPr>
      <w:widowControl/>
      <w:pBdr>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63">
    <w:name w:val="xl98"/>
    <w:basedOn w:val="1"/>
    <w:qFormat/>
    <w:uiPriority w:val="99"/>
    <w:pPr>
      <w:widowControl/>
      <w:pBdr>
        <w:top w:val="single" w:color="auto" w:sz="4" w:space="0"/>
        <w:left w:val="single" w:color="auto" w:sz="4" w:space="0"/>
        <w:right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64">
    <w:name w:val="xl99"/>
    <w:basedOn w:val="1"/>
    <w:qFormat/>
    <w:uiPriority w:val="99"/>
    <w:pPr>
      <w:widowControl/>
      <w:pBdr>
        <w:left w:val="single" w:color="auto" w:sz="4" w:space="0"/>
        <w:right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65">
    <w:name w:val="xl100"/>
    <w:basedOn w:val="1"/>
    <w:qFormat/>
    <w:uiPriority w:val="99"/>
    <w:pPr>
      <w:widowControl/>
      <w:pBdr>
        <w:left w:val="single" w:color="auto" w:sz="4" w:space="0"/>
        <w:bottom w:val="single" w:color="auto" w:sz="4" w:space="0"/>
        <w:right w:val="single" w:color="auto" w:sz="4" w:space="0"/>
      </w:pBdr>
      <w:shd w:val="clear" w:color="000000" w:fill="C0C0C0"/>
      <w:spacing w:before="100" w:beforeAutospacing="1" w:after="100" w:afterAutospacing="1"/>
      <w:jc w:val="center"/>
      <w:textAlignment w:val="center"/>
    </w:pPr>
    <w:rPr>
      <w:rFonts w:ascii="宋体" w:hAnsi="宋体" w:eastAsia="宋体" w:cs="宋体"/>
      <w:kern w:val="0"/>
      <w:sz w:val="20"/>
      <w:szCs w:val="20"/>
    </w:rPr>
  </w:style>
  <w:style w:type="paragraph" w:customStyle="1" w:styleId="66">
    <w:name w:val="抄 送"/>
    <w:basedOn w:val="1"/>
    <w:qFormat/>
    <w:uiPriority w:val="0"/>
    <w:pPr>
      <w:framePr w:wrap="notBeside" w:vAnchor="margin" w:hAnchor="margin" w:yAlign="bottom"/>
    </w:pPr>
    <w:rPr>
      <w:rFonts w:ascii="Calibri" w:hAnsi="Calibri" w:eastAsia="仿宋_GB2312" w:cs="Calibri"/>
      <w:sz w:val="32"/>
      <w:szCs w:val="32"/>
    </w:rPr>
  </w:style>
  <w:style w:type="paragraph" w:customStyle="1" w:styleId="67">
    <w:name w:val="xl65"/>
    <w:basedOn w:val="1"/>
    <w:qFormat/>
    <w:uiPriority w:val="99"/>
    <w:pPr>
      <w:widowControl/>
      <w:spacing w:before="100" w:beforeAutospacing="1" w:after="100" w:afterAutospacing="1"/>
      <w:jc w:val="center"/>
    </w:pPr>
    <w:rPr>
      <w:rFonts w:ascii="宋体" w:hAnsi="宋体" w:eastAsia="宋体" w:cs="宋体"/>
      <w:kern w:val="0"/>
      <w:sz w:val="24"/>
      <w:szCs w:val="24"/>
    </w:rPr>
  </w:style>
  <w:style w:type="paragraph" w:customStyle="1" w:styleId="68">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18"/>
      <w:szCs w:val="18"/>
    </w:rPr>
  </w:style>
  <w:style w:type="paragraph" w:customStyle="1" w:styleId="69">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18"/>
      <w:szCs w:val="18"/>
    </w:rPr>
  </w:style>
  <w:style w:type="paragraph" w:customStyle="1" w:styleId="70">
    <w:name w:val="xl6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71">
    <w:name w:val="xl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b/>
      <w:bCs/>
      <w:kern w:val="0"/>
      <w:sz w:val="24"/>
      <w:szCs w:val="24"/>
    </w:rPr>
  </w:style>
  <w:style w:type="paragraph" w:customStyle="1" w:styleId="72">
    <w:name w:val="xl7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3">
    <w:name w:val="xl7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24"/>
      <w:szCs w:val="24"/>
    </w:rPr>
  </w:style>
  <w:style w:type="paragraph" w:customStyle="1" w:styleId="74">
    <w:name w:val="xl7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75">
    <w:name w:val="xl7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18"/>
      <w:szCs w:val="18"/>
    </w:rPr>
  </w:style>
  <w:style w:type="paragraph" w:customStyle="1" w:styleId="76">
    <w:name w:val="xl7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16"/>
      <w:szCs w:val="16"/>
    </w:rPr>
  </w:style>
  <w:style w:type="paragraph" w:customStyle="1" w:styleId="77">
    <w:name w:val="xl75"/>
    <w:basedOn w:val="1"/>
    <w:qFormat/>
    <w:uiPriority w:val="99"/>
    <w:pPr>
      <w:widowControl/>
      <w:spacing w:before="100" w:beforeAutospacing="1" w:after="100" w:afterAutospacing="1"/>
      <w:jc w:val="center"/>
    </w:pPr>
    <w:rPr>
      <w:rFonts w:ascii="宋体" w:hAnsi="宋体" w:eastAsia="宋体" w:cs="宋体"/>
      <w:b/>
      <w:bCs/>
      <w:kern w:val="0"/>
      <w:sz w:val="20"/>
      <w:szCs w:val="20"/>
    </w:rPr>
  </w:style>
  <w:style w:type="paragraph" w:customStyle="1" w:styleId="78">
    <w:name w:val="xl7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79">
    <w:name w:val="列出段落1"/>
    <w:basedOn w:val="1"/>
    <w:qFormat/>
    <w:uiPriority w:val="99"/>
    <w:pPr>
      <w:ind w:firstLine="420" w:firstLineChars="200"/>
    </w:pPr>
    <w:rPr>
      <w:rFonts w:ascii="Calibri" w:hAnsi="Calibri" w:eastAsia="宋体" w:cs="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2</Pages>
  <Words>1243</Words>
  <Characters>1356</Characters>
  <Lines>98</Lines>
  <Paragraphs>27</Paragraphs>
  <TotalTime>6</TotalTime>
  <ScaleCrop>false</ScaleCrop>
  <LinksUpToDate>false</LinksUpToDate>
  <CharactersWithSpaces>1398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2020-08-13T09:04:00Z</dcterms:created>
  <dc:creator>微软用户</dc:creator>
  <cp:lastModifiedBy>Administrator</cp:lastModifiedBy>
  <cp:lastPrinted>2023-04-10T02:37:00Z</cp:lastPrinted>
  <dcterms:modified xsi:type="dcterms:W3CDTF">2023-09-15T03:28:09Z</dcterms:modified>
  <cp:revision>418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E9756F233DA64B8EB8236FE0D918A3EC</vt:lpwstr>
  </property>
</Properties>
</file>