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宋体" w:eastAsia="黑体" w:cs="黑体"/>
          <w:sz w:val="28"/>
          <w:szCs w:val="28"/>
        </w:rPr>
      </w:pPr>
      <w:r>
        <w:rPr>
          <w:rFonts w:hint="eastAsia" w:ascii="黑体" w:hAnsi="宋体" w:eastAsia="黑体" w:cs="黑体"/>
          <w:sz w:val="28"/>
          <w:szCs w:val="28"/>
        </w:rPr>
        <w:t>附</w:t>
      </w:r>
      <w:r>
        <w:rPr>
          <w:rFonts w:hint="eastAsia" w:ascii="黑体" w:hAnsi="宋体" w:eastAsia="黑体" w:cs="黑体"/>
          <w:sz w:val="28"/>
          <w:szCs w:val="28"/>
          <w:lang w:eastAsia="zh-CN"/>
        </w:rPr>
        <w:t>件</w:t>
      </w:r>
      <w:r>
        <w:rPr>
          <w:rFonts w:ascii="黑体" w:hAnsi="宋体" w:eastAsia="黑体" w:cs="黑体"/>
          <w:sz w:val="28"/>
          <w:szCs w:val="28"/>
        </w:rPr>
        <w:t>1</w:t>
      </w:r>
    </w:p>
    <w:p>
      <w:pPr>
        <w:jc w:val="center"/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  <w:lang w:val="en-US" w:eastAsia="zh-CN"/>
        </w:rPr>
        <w:t>2022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年度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襄阳市科技馆新馆运营项目</w:t>
      </w:r>
    </w:p>
    <w:p>
      <w:pPr>
        <w:jc w:val="center"/>
        <w:rPr>
          <w:rFonts w:cs="Times New Roman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绩效自评表</w:t>
      </w:r>
    </w:p>
    <w:p>
      <w:pPr>
        <w:widowControl/>
        <w:jc w:val="left"/>
        <w:rPr>
          <w:rFonts w:hint="default" w:ascii="楷体_GB2312" w:hAnsi="黑体" w:eastAsia="楷体_GB2312" w:cs="Times New Roman"/>
          <w:kern w:val="0"/>
          <w:sz w:val="48"/>
          <w:szCs w:val="48"/>
          <w:lang w:val="en-US" w:eastAsia="zh-CN"/>
        </w:rPr>
      </w:pP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单位名称：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eastAsia="zh-CN"/>
        </w:rPr>
        <w:t>襄阳市科技馆</w:t>
      </w:r>
      <w:r>
        <w:rPr>
          <w:rFonts w:ascii="楷体_GB2312" w:hAnsi="仿宋" w:eastAsia="楷体_GB2312" w:cs="楷体_GB2312"/>
          <w:kern w:val="0"/>
          <w:sz w:val="28"/>
          <w:szCs w:val="28"/>
        </w:rPr>
        <w:t xml:space="preserve">            </w:t>
      </w: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填报日期：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val="en-US" w:eastAsia="zh-CN"/>
        </w:rPr>
        <w:t>2023年4月13日</w:t>
      </w:r>
    </w:p>
    <w:tbl>
      <w:tblPr>
        <w:tblStyle w:val="16"/>
        <w:tblW w:w="8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1030"/>
        <w:gridCol w:w="1223"/>
        <w:gridCol w:w="1155"/>
        <w:gridCol w:w="1025"/>
        <w:gridCol w:w="394"/>
        <w:gridCol w:w="1466"/>
        <w:gridCol w:w="660"/>
        <w:gridCol w:w="659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8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项目名称</w:t>
            </w:r>
          </w:p>
        </w:tc>
        <w:tc>
          <w:tcPr>
            <w:tcW w:w="7459" w:type="dxa"/>
            <w:gridSpan w:val="8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襄阳市科技馆新馆运营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48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主管部门</w:t>
            </w:r>
          </w:p>
        </w:tc>
        <w:tc>
          <w:tcPr>
            <w:tcW w:w="3403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襄阳市科协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项目实施单位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襄阳市科技馆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8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bookmarkStart w:id="0" w:name="_GoBack"/>
            <w:r>
              <w:rPr>
                <w:rFonts w:hint="eastAsia" w:ascii="仿宋_GB2312" w:hAnsi="宋体" w:eastAsia="仿宋_GB2312" w:cs="仿宋_GB2312"/>
                <w:kern w:val="0"/>
              </w:rPr>
              <w:t>项目类别</w:t>
            </w:r>
          </w:p>
        </w:tc>
        <w:tc>
          <w:tcPr>
            <w:tcW w:w="7459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、部门预算项目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、财政专项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政府性基金项目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４、其他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8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项目属性</w:t>
            </w:r>
          </w:p>
        </w:tc>
        <w:tc>
          <w:tcPr>
            <w:tcW w:w="7459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、持续性项目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 xml:space="preserve"> 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、新增性项目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48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项目类型</w:t>
            </w:r>
          </w:p>
        </w:tc>
        <w:tc>
          <w:tcPr>
            <w:tcW w:w="7459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、常年性项目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、延续性项目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3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、一次性项目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89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预算执行情况（万元）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1223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年度财政资金总额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预算数（</w:t>
            </w:r>
            <w:r>
              <w:rPr>
                <w:rFonts w:ascii="仿宋_GB2312" w:hAnsi="宋体" w:eastAsia="仿宋_GB2312" w:cs="仿宋_GB2312"/>
                <w:kern w:val="0"/>
              </w:rPr>
              <w:t>A）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执行数</w:t>
            </w:r>
            <w:r>
              <w:rPr>
                <w:rFonts w:ascii="仿宋_GB2312" w:hAnsi="宋体" w:eastAsia="仿宋_GB2312" w:cs="仿宋_GB2312"/>
                <w:kern w:val="0"/>
              </w:rPr>
              <w:t>（B）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执行率</w:t>
            </w:r>
            <w:r>
              <w:rPr>
                <w:rFonts w:ascii="仿宋_GB2312" w:hAnsi="宋体" w:eastAsia="仿宋_GB2312" w:cs="仿宋_GB2312"/>
                <w:kern w:val="0"/>
              </w:rPr>
              <w:t>（B/A）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</w:t>
            </w:r>
            <w:r>
              <w:rPr>
                <w:rFonts w:ascii="仿宋_GB2312" w:hAnsi="宋体" w:eastAsia="仿宋_GB2312" w:cs="仿宋_GB2312"/>
                <w:kern w:val="0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执行率）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89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22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  <w:t>941.44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504.23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53.56%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5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年度绩效目标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/>
              </w:rPr>
              <w:t>80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103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一级指标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二级指标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三级指标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年初目标值（</w:t>
            </w:r>
            <w:r>
              <w:rPr>
                <w:rFonts w:ascii="仿宋_GB2312" w:hAnsi="宋体" w:eastAsia="仿宋_GB2312" w:cs="仿宋_GB2312"/>
                <w:kern w:val="0"/>
              </w:rPr>
              <w:t>A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实际完成值（</w:t>
            </w:r>
            <w:r>
              <w:rPr>
                <w:rFonts w:ascii="仿宋_GB2312" w:hAnsi="宋体" w:eastAsia="仿宋_GB2312" w:cs="仿宋_GB2312"/>
                <w:kern w:val="0"/>
              </w:rPr>
              <w:t>B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3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产出指标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40分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22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数量指标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2022年服务采购数量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2个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1个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3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22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2022年维护展品件数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700件以上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达标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3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22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2022年运行天数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300天以上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新馆免费开放297天，老馆免费开放237天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3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22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2022年参观人次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35万以上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35.47万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3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22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质量指标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2022年新馆展品完好率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80%以上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90%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3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22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时效指标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费用支出及时率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80%以上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时效达标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3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22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成本指标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2022年新馆运行服务费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≤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576万元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346.63万元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3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</w:p>
        </w:tc>
        <w:tc>
          <w:tcPr>
            <w:tcW w:w="122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展品维修维护费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140万元以下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0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3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效益指标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社会效益指标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科普惠民，为参观公众提供节假日休闲好去处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健康发展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健康发展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3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</w:p>
        </w:tc>
        <w:tc>
          <w:tcPr>
            <w:tcW w:w="122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生态效益指标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通过物业服务保障新馆环境舒适、干净整洁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健康发展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健康发展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03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满意度指标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20分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）</w:t>
            </w:r>
          </w:p>
        </w:tc>
        <w:tc>
          <w:tcPr>
            <w:tcW w:w="122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游客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满意度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参观公众满意度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80%以上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hint="default" w:ascii="仿宋_GB2312" w:hAnsi="宋体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85%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59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总分</w:t>
            </w:r>
          </w:p>
        </w:tc>
        <w:tc>
          <w:tcPr>
            <w:tcW w:w="8489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87.71分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  <w:jc w:val="center"/>
        </w:trPr>
        <w:tc>
          <w:tcPr>
            <w:tcW w:w="148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偏差大或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目标未完成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原因分析</w:t>
            </w:r>
          </w:p>
        </w:tc>
        <w:tc>
          <w:tcPr>
            <w:tcW w:w="745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jc w:val="left"/>
              <w:textAlignment w:val="auto"/>
              <w:rPr>
                <w:rFonts w:hint="default" w:ascii="仿宋_GB2312" w:hAnsi="宋体" w:eastAsia="仿宋_GB2312" w:cs="仿宋_GB2312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32"/>
                <w:lang w:val="en-US" w:eastAsia="zh-CN"/>
              </w:rPr>
              <w:t>项目总预算955.94万元，年中核减14.5万元，预算调整数为941.44万元，实际支出金额504.23万元，437.21万元未支出。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32"/>
                <w:lang w:eastAsia="zh-CN"/>
              </w:rPr>
              <w:t>偏差主要在年初计划采购展品维修维护服务，因展品还在服务期，展品维修维护服务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32"/>
                <w:lang w:val="en-US" w:eastAsia="zh-CN"/>
              </w:rPr>
              <w:t>140万元未执行。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32"/>
                <w:lang w:val="en-US" w:eastAsia="zh-CN"/>
              </w:rPr>
              <w:t>襄阳市科技馆新馆运营项目截至年底240万指标未下达，无法支出。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kern w:val="0"/>
                <w:sz w:val="28"/>
                <w:szCs w:val="36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32"/>
                <w:lang w:val="en-US" w:eastAsia="zh-CN"/>
              </w:rPr>
              <w:t>2022年年底为保障重点项目，第四季度运行考核服务费超一百万，支付额度未批准，故未支出。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148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改进措施及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结果应用方案</w:t>
            </w:r>
          </w:p>
        </w:tc>
        <w:tc>
          <w:tcPr>
            <w:tcW w:w="7459" w:type="dxa"/>
            <w:gridSpan w:val="8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仿宋_GB2312" w:hAnsi="宋体" w:eastAsia="仿宋_GB2312" w:cs="仿宋_GB2312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32"/>
                <w:lang w:val="en-US" w:eastAsia="zh-CN"/>
              </w:rPr>
              <w:t>展品质保期内加强与展品公司沟通联系，确保展品维修维护进度；展品质保期结束后，及时采购维修维护服务，保障展品正常运行。</w:t>
            </w:r>
          </w:p>
          <w:p>
            <w:pPr>
              <w:widowControl/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仿宋_GB2312" w:hAnsi="宋体" w:eastAsia="仿宋_GB2312" w:cs="仿宋_GB2312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32"/>
                <w:lang w:val="en-US" w:eastAsia="zh-CN"/>
              </w:rPr>
              <w:t>加强与主管部门及财政局的沟通和联系，提高指标申请效率。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仿宋_GB2312" w:hAnsi="宋体" w:eastAsia="仿宋_GB2312" w:cs="仿宋_GB2312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32"/>
                <w:lang w:val="en-US" w:eastAsia="zh-CN"/>
              </w:rPr>
              <w:t>3.制定规范的运行考核制度，加强监督管理，制定应急管理预案，保障场馆正常平稳运行。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仿宋_GB2312" w:hAnsi="宋体" w:eastAsia="仿宋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32"/>
                <w:lang w:val="en-US" w:eastAsia="zh-CN"/>
              </w:rPr>
              <w:t>4.提高场馆工作人员服务质量和服务水平，提升游客满意度。</w:t>
            </w:r>
          </w:p>
        </w:tc>
      </w:tr>
    </w:tbl>
    <w:p>
      <w:pPr>
        <w:widowControl/>
        <w:rPr>
          <w:rFonts w:ascii="仿宋_GB2312" w:hAnsi="宋体" w:eastAsia="仿宋_GB2312" w:cs="Times New Roman"/>
          <w:kern w:val="0"/>
        </w:rPr>
      </w:pPr>
      <w:r>
        <w:rPr>
          <w:rFonts w:hint="eastAsia" w:ascii="仿宋_GB2312" w:hAnsi="宋体" w:eastAsia="仿宋_GB2312" w:cs="仿宋_GB2312"/>
          <w:kern w:val="0"/>
        </w:rPr>
        <w:t>备注：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1.</w:t>
      </w:r>
      <w:r>
        <w:rPr>
          <w:rFonts w:hint="eastAsia" w:ascii="仿宋_GB2312" w:hAnsi="宋体" w:eastAsia="仿宋_GB2312" w:cs="仿宋_GB2312"/>
          <w:kern w:val="0"/>
        </w:rPr>
        <w:t>预算执行情况口径：预算数为调整后财政资金总额（包括上年结余结转），执行数为资金使用单位财政资金实际支出数。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2.</w:t>
      </w:r>
      <w:r>
        <w:rPr>
          <w:rFonts w:hint="eastAsia" w:ascii="仿宋_GB2312" w:hAnsi="宋体" w:eastAsia="仿宋_GB2312" w:cs="仿宋_GB2312"/>
          <w:kern w:val="0"/>
        </w:rPr>
        <w:t>定量指标完成数汇总原则：绝对值直接累加计算，相对值按照资金额度加权平均计算。定量指标计分原则：正向指标（即目标值为≥</w:t>
      </w:r>
      <w:r>
        <w:rPr>
          <w:rFonts w:ascii="仿宋_GB2312" w:hAnsi="宋体" w:eastAsia="仿宋_GB2312" w:cs="仿宋_GB2312"/>
          <w:kern w:val="0"/>
        </w:rPr>
        <w:t>X,</w:t>
      </w:r>
      <w:r>
        <w:rPr>
          <w:rFonts w:hint="eastAsia" w:ascii="仿宋_GB2312" w:hAnsi="宋体" w:eastAsia="仿宋_GB2312" w:cs="仿宋_GB2312"/>
          <w:kern w:val="0"/>
        </w:rPr>
        <w:t>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*B/A</w:t>
      </w:r>
      <w:r>
        <w:rPr>
          <w:rFonts w:hint="eastAsia" w:ascii="仿宋_GB2312" w:hAnsi="宋体" w:eastAsia="仿宋_GB2312" w:cs="仿宋_GB2312"/>
          <w:kern w:val="0"/>
        </w:rPr>
        <w:t>），反向指标（即目标值为≤</w:t>
      </w:r>
      <w:r>
        <w:rPr>
          <w:rFonts w:ascii="仿宋_GB2312" w:hAnsi="宋体" w:eastAsia="仿宋_GB2312" w:cs="仿宋_GB2312"/>
          <w:kern w:val="0"/>
        </w:rPr>
        <w:t>X</w:t>
      </w:r>
      <w:r>
        <w:rPr>
          <w:rFonts w:hint="eastAsia" w:ascii="仿宋_GB2312" w:hAnsi="宋体" w:eastAsia="仿宋_GB2312" w:cs="仿宋_GB2312"/>
          <w:kern w:val="0"/>
        </w:rPr>
        <w:t>，得分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*A/B）</w:t>
      </w:r>
      <w:r>
        <w:rPr>
          <w:rFonts w:hint="eastAsia" w:ascii="仿宋_GB2312" w:hAnsi="宋体" w:eastAsia="仿宋_GB2312" w:cs="仿宋_GB2312"/>
          <w:kern w:val="0"/>
        </w:rPr>
        <w:t>，得分不得突破权重总额。定量指标先汇总完成数，再计算得分。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3.</w:t>
      </w:r>
      <w:r>
        <w:rPr>
          <w:rFonts w:hint="eastAsia" w:ascii="仿宋_GB2312" w:hAnsi="宋体" w:eastAsia="仿宋_GB2312" w:cs="仿宋_GB2312"/>
          <w:kern w:val="0"/>
        </w:rPr>
        <w:t>定性指标计分原则：达成预期指标、部分达成预期指标并具有一定效果、未达成预期指标且效果较差三档，分别按照该指标对应分值区间</w:t>
      </w:r>
      <w:r>
        <w:rPr>
          <w:rFonts w:ascii="仿宋_GB2312" w:hAnsi="宋体" w:eastAsia="仿宋_GB2312" w:cs="仿宋_GB2312"/>
          <w:kern w:val="0"/>
        </w:rPr>
        <w:t>100-80%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80%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80-50%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50%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50-0%</w:t>
      </w:r>
      <w:r>
        <w:rPr>
          <w:rFonts w:hint="eastAsia" w:ascii="仿宋_GB2312" w:hAnsi="宋体" w:eastAsia="仿宋_GB2312" w:cs="仿宋_GB2312"/>
          <w:kern w:val="0"/>
        </w:rPr>
        <w:t>合理确定分值。汇总时，以资金额度为权重，对分值进行加权平均计算。</w:t>
      </w:r>
    </w:p>
    <w:p>
      <w:r>
        <w:rPr>
          <w:rFonts w:ascii="仿宋_GB2312" w:hAnsi="宋体" w:eastAsia="仿宋_GB2312" w:cs="仿宋_GB2312"/>
          <w:kern w:val="0"/>
        </w:rPr>
        <w:t>4.</w:t>
      </w:r>
      <w:r>
        <w:rPr>
          <w:rFonts w:hint="eastAsia" w:ascii="仿宋_GB2312" w:hAnsi="宋体" w:eastAsia="仿宋_GB2312" w:cs="仿宋_GB2312"/>
          <w:kern w:val="0"/>
        </w:rPr>
        <w:t>基于经济性和必要性等因素考虑，满意度指标暂可不作为必评指标。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  <w:rPr>
        <w:rFonts w:cs="Times New Roma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C853CC"/>
    <w:multiLevelType w:val="singleLevel"/>
    <w:tmpl w:val="9BC853C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EC7D34B"/>
    <w:multiLevelType w:val="singleLevel"/>
    <w:tmpl w:val="AEC7D34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k1MzAzZjU3ZDE4MTFhMzFiYzA2N2YzNjEzOTdkYWIifQ=="/>
  </w:docVars>
  <w:rsids>
    <w:rsidRoot w:val="006936A7"/>
    <w:rsid w:val="00002503"/>
    <w:rsid w:val="00013B97"/>
    <w:rsid w:val="000315FD"/>
    <w:rsid w:val="000639B8"/>
    <w:rsid w:val="000675A3"/>
    <w:rsid w:val="00082E7B"/>
    <w:rsid w:val="00092618"/>
    <w:rsid w:val="000B599B"/>
    <w:rsid w:val="00122842"/>
    <w:rsid w:val="00135CAF"/>
    <w:rsid w:val="00207343"/>
    <w:rsid w:val="00213892"/>
    <w:rsid w:val="002645B9"/>
    <w:rsid w:val="002744D0"/>
    <w:rsid w:val="0029730F"/>
    <w:rsid w:val="002B315D"/>
    <w:rsid w:val="002D3079"/>
    <w:rsid w:val="002E6E21"/>
    <w:rsid w:val="00336E4C"/>
    <w:rsid w:val="004277E2"/>
    <w:rsid w:val="00454808"/>
    <w:rsid w:val="004B0542"/>
    <w:rsid w:val="004C70E3"/>
    <w:rsid w:val="004D5902"/>
    <w:rsid w:val="004F4681"/>
    <w:rsid w:val="0054044B"/>
    <w:rsid w:val="00543EF6"/>
    <w:rsid w:val="00552C91"/>
    <w:rsid w:val="00566763"/>
    <w:rsid w:val="005A1B6B"/>
    <w:rsid w:val="005A4D58"/>
    <w:rsid w:val="005D286B"/>
    <w:rsid w:val="005E12FD"/>
    <w:rsid w:val="006341ED"/>
    <w:rsid w:val="00650820"/>
    <w:rsid w:val="006936A7"/>
    <w:rsid w:val="006965E3"/>
    <w:rsid w:val="006A01AE"/>
    <w:rsid w:val="006A190B"/>
    <w:rsid w:val="006C7750"/>
    <w:rsid w:val="006F382A"/>
    <w:rsid w:val="00717A3F"/>
    <w:rsid w:val="007972B5"/>
    <w:rsid w:val="007D479B"/>
    <w:rsid w:val="007E4F58"/>
    <w:rsid w:val="00844644"/>
    <w:rsid w:val="008B5B64"/>
    <w:rsid w:val="008F435E"/>
    <w:rsid w:val="0090681D"/>
    <w:rsid w:val="009436AB"/>
    <w:rsid w:val="0097472F"/>
    <w:rsid w:val="00974E46"/>
    <w:rsid w:val="00A016A4"/>
    <w:rsid w:val="00A446FD"/>
    <w:rsid w:val="00A86BB1"/>
    <w:rsid w:val="00AF2DBF"/>
    <w:rsid w:val="00B06A06"/>
    <w:rsid w:val="00B93D14"/>
    <w:rsid w:val="00BD3CBE"/>
    <w:rsid w:val="00BF0274"/>
    <w:rsid w:val="00BF655F"/>
    <w:rsid w:val="00CA20FD"/>
    <w:rsid w:val="00CC3066"/>
    <w:rsid w:val="00CD0C8B"/>
    <w:rsid w:val="00CF49E5"/>
    <w:rsid w:val="00D049EC"/>
    <w:rsid w:val="00D54B62"/>
    <w:rsid w:val="00D67401"/>
    <w:rsid w:val="00D77CC0"/>
    <w:rsid w:val="00D844D8"/>
    <w:rsid w:val="00D97E5F"/>
    <w:rsid w:val="00DE353F"/>
    <w:rsid w:val="00E56204"/>
    <w:rsid w:val="00E7180D"/>
    <w:rsid w:val="00E91B84"/>
    <w:rsid w:val="00EA3101"/>
    <w:rsid w:val="00EB572F"/>
    <w:rsid w:val="00ED0793"/>
    <w:rsid w:val="00ED584C"/>
    <w:rsid w:val="00F0066A"/>
    <w:rsid w:val="00F15A98"/>
    <w:rsid w:val="00F570A0"/>
    <w:rsid w:val="00F84547"/>
    <w:rsid w:val="00FB21E4"/>
    <w:rsid w:val="01125946"/>
    <w:rsid w:val="020A7ABD"/>
    <w:rsid w:val="036A0566"/>
    <w:rsid w:val="0547085C"/>
    <w:rsid w:val="094E0A65"/>
    <w:rsid w:val="098107F2"/>
    <w:rsid w:val="099F3F9F"/>
    <w:rsid w:val="0B9D61FB"/>
    <w:rsid w:val="0C4E5E32"/>
    <w:rsid w:val="0E47122E"/>
    <w:rsid w:val="117300F6"/>
    <w:rsid w:val="1183057E"/>
    <w:rsid w:val="12CE4ADC"/>
    <w:rsid w:val="161A0D9D"/>
    <w:rsid w:val="17F24FF8"/>
    <w:rsid w:val="193157FB"/>
    <w:rsid w:val="1B6E3977"/>
    <w:rsid w:val="1DC00D2B"/>
    <w:rsid w:val="1DE61047"/>
    <w:rsid w:val="1EE12744"/>
    <w:rsid w:val="1EF01511"/>
    <w:rsid w:val="236F528E"/>
    <w:rsid w:val="2531116A"/>
    <w:rsid w:val="293F3AF0"/>
    <w:rsid w:val="294D3BB6"/>
    <w:rsid w:val="29A80723"/>
    <w:rsid w:val="2A931A01"/>
    <w:rsid w:val="2B8E7548"/>
    <w:rsid w:val="2C076F19"/>
    <w:rsid w:val="2C290ABC"/>
    <w:rsid w:val="2F744FEA"/>
    <w:rsid w:val="2F8F6A57"/>
    <w:rsid w:val="3121625B"/>
    <w:rsid w:val="32B132AD"/>
    <w:rsid w:val="32F333A1"/>
    <w:rsid w:val="336D7E92"/>
    <w:rsid w:val="339E27CD"/>
    <w:rsid w:val="3499186B"/>
    <w:rsid w:val="350F7EFE"/>
    <w:rsid w:val="39273355"/>
    <w:rsid w:val="3AC702FC"/>
    <w:rsid w:val="3BB65ECF"/>
    <w:rsid w:val="3DCF7904"/>
    <w:rsid w:val="3FC146B1"/>
    <w:rsid w:val="3FF605A1"/>
    <w:rsid w:val="42453BFF"/>
    <w:rsid w:val="43634AB2"/>
    <w:rsid w:val="45691D99"/>
    <w:rsid w:val="497A5F98"/>
    <w:rsid w:val="49D246CF"/>
    <w:rsid w:val="4B4B6F07"/>
    <w:rsid w:val="4D744B90"/>
    <w:rsid w:val="50645BE0"/>
    <w:rsid w:val="51294138"/>
    <w:rsid w:val="51D3291E"/>
    <w:rsid w:val="546E59E1"/>
    <w:rsid w:val="55AF2676"/>
    <w:rsid w:val="56551A55"/>
    <w:rsid w:val="57B81486"/>
    <w:rsid w:val="5832124F"/>
    <w:rsid w:val="58FD37D0"/>
    <w:rsid w:val="59273C3B"/>
    <w:rsid w:val="593767E7"/>
    <w:rsid w:val="59EA1BAA"/>
    <w:rsid w:val="5B1E01CB"/>
    <w:rsid w:val="5BE62C0B"/>
    <w:rsid w:val="5D996E45"/>
    <w:rsid w:val="5DA80F44"/>
    <w:rsid w:val="5EBF14CB"/>
    <w:rsid w:val="5F6F16D0"/>
    <w:rsid w:val="5FD84818"/>
    <w:rsid w:val="61C57165"/>
    <w:rsid w:val="620058FF"/>
    <w:rsid w:val="66AE5B2A"/>
    <w:rsid w:val="67400A2C"/>
    <w:rsid w:val="679E2BF3"/>
    <w:rsid w:val="6923499F"/>
    <w:rsid w:val="6B056B98"/>
    <w:rsid w:val="6B361F3A"/>
    <w:rsid w:val="6BC849C4"/>
    <w:rsid w:val="6F5E4911"/>
    <w:rsid w:val="6FCF2FC1"/>
    <w:rsid w:val="70E23E46"/>
    <w:rsid w:val="71527F49"/>
    <w:rsid w:val="721F0EDC"/>
    <w:rsid w:val="723A6C34"/>
    <w:rsid w:val="7334084B"/>
    <w:rsid w:val="75581EE0"/>
    <w:rsid w:val="776A159F"/>
    <w:rsid w:val="79B269CC"/>
    <w:rsid w:val="7AB038A6"/>
    <w:rsid w:val="7B317800"/>
    <w:rsid w:val="7BCE7304"/>
    <w:rsid w:val="7F15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240" w:after="12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9"/>
    <w:pPr>
      <w:keepNext/>
      <w:keepLines/>
      <w:jc w:val="left"/>
      <w:outlineLvl w:val="1"/>
    </w:pPr>
    <w:rPr>
      <w:rFonts w:eastAsia="黑体"/>
      <w:b/>
      <w:bCs/>
      <w:kern w:val="0"/>
      <w:sz w:val="30"/>
      <w:szCs w:val="32"/>
    </w:rPr>
  </w:style>
  <w:style w:type="paragraph" w:styleId="4">
    <w:name w:val="heading 3"/>
    <w:basedOn w:val="1"/>
    <w:next w:val="1"/>
    <w:link w:val="25"/>
    <w:qFormat/>
    <w:uiPriority w:val="9"/>
    <w:pPr>
      <w:keepNext/>
      <w:keepLines/>
      <w:jc w:val="left"/>
      <w:outlineLvl w:val="2"/>
    </w:pPr>
    <w:rPr>
      <w:b/>
      <w:bCs/>
      <w:kern w:val="0"/>
      <w:szCs w:val="32"/>
    </w:rPr>
  </w:style>
  <w:style w:type="paragraph" w:styleId="5">
    <w:name w:val="heading 4"/>
    <w:basedOn w:val="1"/>
    <w:next w:val="1"/>
    <w:link w:val="26"/>
    <w:qFormat/>
    <w:uiPriority w:val="9"/>
    <w:pPr>
      <w:keepNext/>
      <w:keepLines/>
      <w:outlineLvl w:val="3"/>
    </w:pPr>
    <w:rPr>
      <w:b/>
      <w:bCs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7"/>
    <w:unhideWhenUsed/>
    <w:qFormat/>
    <w:uiPriority w:val="99"/>
    <w:pPr>
      <w:jc w:val="left"/>
    </w:p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Date"/>
    <w:basedOn w:val="1"/>
    <w:next w:val="1"/>
    <w:link w:val="35"/>
    <w:semiHidden/>
    <w:qFormat/>
    <w:uiPriority w:val="99"/>
    <w:pPr>
      <w:ind w:left="100" w:leftChars="2500"/>
    </w:pPr>
  </w:style>
  <w:style w:type="paragraph" w:styleId="9">
    <w:name w:val="Balloon Text"/>
    <w:basedOn w:val="1"/>
    <w:link w:val="36"/>
    <w:semiHidden/>
    <w:qFormat/>
    <w:uiPriority w:val="99"/>
    <w:rPr>
      <w:sz w:val="18"/>
      <w:szCs w:val="18"/>
    </w:rPr>
  </w:style>
  <w:style w:type="paragraph" w:styleId="10">
    <w:name w:val="footer"/>
    <w:basedOn w:val="1"/>
    <w:link w:val="3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3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unhideWhenUsed/>
    <w:qFormat/>
    <w:uiPriority w:val="39"/>
    <w:pPr>
      <w:tabs>
        <w:tab w:val="right" w:leader="dot" w:pos="9060"/>
      </w:tabs>
      <w:spacing w:line="440" w:lineRule="exact"/>
    </w:pPr>
    <w:rPr>
      <w:rFonts w:eastAsia="黑体"/>
      <w:b/>
      <w:sz w:val="24"/>
    </w:rPr>
  </w:style>
  <w:style w:type="paragraph" w:styleId="13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paragraph" w:styleId="15">
    <w:name w:val="annotation subject"/>
    <w:basedOn w:val="6"/>
    <w:next w:val="6"/>
    <w:link w:val="34"/>
    <w:semiHidden/>
    <w:qFormat/>
    <w:uiPriority w:val="99"/>
    <w:rPr>
      <w:b/>
      <w:bCs/>
    </w:rPr>
  </w:style>
  <w:style w:type="character" w:styleId="18">
    <w:name w:val="Strong"/>
    <w:qFormat/>
    <w:uiPriority w:val="22"/>
    <w:rPr>
      <w:b/>
      <w:bCs/>
    </w:rPr>
  </w:style>
  <w:style w:type="character" w:styleId="19">
    <w:name w:val="page number"/>
    <w:basedOn w:val="17"/>
    <w:qFormat/>
    <w:uiPriority w:val="99"/>
  </w:style>
  <w:style w:type="character" w:styleId="20">
    <w:name w:val="FollowedHyperlink"/>
    <w:semiHidden/>
    <w:qFormat/>
    <w:uiPriority w:val="99"/>
    <w:rPr>
      <w:color w:val="800080"/>
      <w:u w:val="single"/>
    </w:rPr>
  </w:style>
  <w:style w:type="character" w:styleId="21">
    <w:name w:val="Hyperlink"/>
    <w:qFormat/>
    <w:uiPriority w:val="99"/>
    <w:rPr>
      <w:color w:val="0000FF"/>
      <w:u w:val="single"/>
    </w:rPr>
  </w:style>
  <w:style w:type="character" w:styleId="22">
    <w:name w:val="annotation reference"/>
    <w:unhideWhenUsed/>
    <w:qFormat/>
    <w:uiPriority w:val="99"/>
    <w:rPr>
      <w:sz w:val="21"/>
      <w:szCs w:val="21"/>
    </w:rPr>
  </w:style>
  <w:style w:type="character" w:customStyle="1" w:styleId="23">
    <w:name w:val="标题 1 Char"/>
    <w:link w:val="2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24">
    <w:name w:val="标题 2 Char"/>
    <w:link w:val="3"/>
    <w:qFormat/>
    <w:uiPriority w:val="9"/>
    <w:rPr>
      <w:rFonts w:ascii="Times New Roman" w:hAnsi="Times New Roman" w:eastAsia="黑体"/>
      <w:b/>
      <w:bCs/>
      <w:sz w:val="30"/>
      <w:szCs w:val="32"/>
    </w:rPr>
  </w:style>
  <w:style w:type="character" w:customStyle="1" w:styleId="25">
    <w:name w:val="标题 3 Char"/>
    <w:link w:val="4"/>
    <w:qFormat/>
    <w:uiPriority w:val="9"/>
    <w:rPr>
      <w:rFonts w:ascii="Times New Roman" w:hAnsi="Times New Roman" w:eastAsia="仿宋_GB2312"/>
      <w:b/>
      <w:bCs/>
      <w:sz w:val="28"/>
      <w:szCs w:val="32"/>
    </w:rPr>
  </w:style>
  <w:style w:type="character" w:customStyle="1" w:styleId="26">
    <w:name w:val="标题 4 Char"/>
    <w:link w:val="5"/>
    <w:qFormat/>
    <w:uiPriority w:val="9"/>
    <w:rPr>
      <w:rFonts w:ascii="Times New Roman" w:hAnsi="Times New Roman" w:eastAsia="仿宋_GB2312"/>
      <w:b/>
      <w:bCs/>
      <w:kern w:val="2"/>
      <w:sz w:val="28"/>
      <w:szCs w:val="28"/>
    </w:rPr>
  </w:style>
  <w:style w:type="character" w:customStyle="1" w:styleId="27">
    <w:name w:val="批注文字 Char"/>
    <w:link w:val="6"/>
    <w:qFormat/>
    <w:uiPriority w:val="99"/>
    <w:rPr>
      <w:rFonts w:ascii="Times New Roman" w:hAnsi="Times New Roman" w:eastAsia="仿宋_GB2312"/>
      <w:kern w:val="2"/>
      <w:sz w:val="28"/>
      <w:szCs w:val="24"/>
    </w:rPr>
  </w:style>
  <w:style w:type="paragraph" w:styleId="28">
    <w:name w:val="No Spacing"/>
    <w:qFormat/>
    <w:uiPriority w:val="1"/>
    <w:pPr>
      <w:widowControl w:val="0"/>
      <w:topLinePunct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styleId="29">
    <w:name w:val="List Paragraph"/>
    <w:basedOn w:val="1"/>
    <w:qFormat/>
    <w:uiPriority w:val="99"/>
    <w:pPr>
      <w:ind w:firstLine="420"/>
    </w:pPr>
  </w:style>
  <w:style w:type="paragraph" w:customStyle="1" w:styleId="30">
    <w:name w:val="TOC Heading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31">
    <w:name w:val="目录 31"/>
    <w:basedOn w:val="1"/>
    <w:next w:val="1"/>
    <w:unhideWhenUsed/>
    <w:qFormat/>
    <w:uiPriority w:val="39"/>
    <w:pPr>
      <w:ind w:left="56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32">
    <w:name w:val="目录 11"/>
    <w:basedOn w:val="1"/>
    <w:next w:val="1"/>
    <w:unhideWhenUsed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customStyle="1" w:styleId="33">
    <w:name w:val="目录 21"/>
    <w:basedOn w:val="1"/>
    <w:next w:val="1"/>
    <w:unhideWhenUsed/>
    <w:qFormat/>
    <w:uiPriority w:val="39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character" w:customStyle="1" w:styleId="34">
    <w:name w:val="批注主题 Char"/>
    <w:basedOn w:val="27"/>
    <w:link w:val="15"/>
    <w:semiHidden/>
    <w:qFormat/>
    <w:uiPriority w:val="99"/>
    <w:rPr>
      <w:rFonts w:ascii="等线" w:hAnsi="等线" w:eastAsia="等线" w:cs="等线"/>
      <w:b/>
      <w:bCs/>
      <w:sz w:val="21"/>
      <w:szCs w:val="21"/>
    </w:rPr>
  </w:style>
  <w:style w:type="character" w:customStyle="1" w:styleId="35">
    <w:name w:val="日期 Char"/>
    <w:basedOn w:val="17"/>
    <w:link w:val="8"/>
    <w:semiHidden/>
    <w:qFormat/>
    <w:uiPriority w:val="99"/>
    <w:rPr>
      <w:rFonts w:ascii="等线" w:hAnsi="等线" w:eastAsia="等线" w:cs="等线"/>
      <w:kern w:val="2"/>
      <w:sz w:val="21"/>
      <w:szCs w:val="21"/>
    </w:rPr>
  </w:style>
  <w:style w:type="character" w:customStyle="1" w:styleId="36">
    <w:name w:val="批注框文本 Char"/>
    <w:basedOn w:val="17"/>
    <w:link w:val="9"/>
    <w:semiHidden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7">
    <w:name w:val="页脚 Char"/>
    <w:basedOn w:val="17"/>
    <w:link w:val="10"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8">
    <w:name w:val="页眉 Char"/>
    <w:basedOn w:val="17"/>
    <w:link w:val="11"/>
    <w:qFormat/>
    <w:uiPriority w:val="99"/>
    <w:rPr>
      <w:rFonts w:ascii="等线" w:hAnsi="等线" w:eastAsia="等线" w:cs="等线"/>
      <w:kern w:val="2"/>
      <w:sz w:val="18"/>
      <w:szCs w:val="18"/>
    </w:rPr>
  </w:style>
  <w:style w:type="paragraph" w:customStyle="1" w:styleId="39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xl77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8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84"/>
    <w:basedOn w:val="1"/>
    <w:qFormat/>
    <w:uiPriority w:val="99"/>
    <w:pPr>
      <w:widowControl/>
      <w:pBdr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93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9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6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7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10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抄 送"/>
    <w:basedOn w:val="1"/>
    <w:qFormat/>
    <w:uiPriority w:val="0"/>
    <w:pPr>
      <w:framePr w:wrap="notBeside" w:vAnchor="margin" w:hAnchor="margin" w:yAlign="bottom"/>
    </w:pPr>
    <w:rPr>
      <w:rFonts w:ascii="Calibri" w:hAnsi="Calibri" w:eastAsia="仿宋_GB2312" w:cs="Calibri"/>
      <w:sz w:val="32"/>
      <w:szCs w:val="32"/>
    </w:rPr>
  </w:style>
  <w:style w:type="paragraph" w:customStyle="1" w:styleId="65">
    <w:name w:val="xl6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7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8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69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0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4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6"/>
      <w:szCs w:val="16"/>
    </w:rPr>
  </w:style>
  <w:style w:type="paragraph" w:customStyle="1" w:styleId="75">
    <w:name w:val="xl7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6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7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</w:rPr>
  </w:style>
  <w:style w:type="paragraph" w:customStyle="1" w:styleId="78">
    <w:name w:val="正文1"/>
    <w:basedOn w:val="79"/>
    <w:qFormat/>
    <w:uiPriority w:val="0"/>
    <w:pPr>
      <w:jc w:val="both"/>
    </w:pPr>
    <w:rPr>
      <w:rFonts w:ascii="Times New Roman" w:hAnsi="Times New Roman" w:eastAsia="Times New Roman"/>
      <w:sz w:val="21"/>
    </w:rPr>
  </w:style>
  <w:style w:type="paragraph" w:customStyle="1" w:styleId="79">
    <w:name w:val="[Normal]"/>
    <w:qFormat/>
    <w:uiPriority w:val="6"/>
    <w:rPr>
      <w:rFonts w:ascii="宋体" w:hAnsi="宋体" w:eastAsia="宋体" w:cs="Times New Roman"/>
      <w:color w:val="auto"/>
      <w:position w:val="0"/>
      <w:sz w:val="24"/>
      <w:u w:val="none"/>
      <w:shd w:val="clear" w:color="auto" w:fill="auto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F0DCDE3-BB3F-4B91-8B01-D2BD7DB1D1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1164</Words>
  <Characters>1319</Characters>
  <Lines>98</Lines>
  <Paragraphs>27</Paragraphs>
  <TotalTime>16</TotalTime>
  <ScaleCrop>false</ScaleCrop>
  <LinksUpToDate>false</LinksUpToDate>
  <CharactersWithSpaces>1378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2020-08-12T09:04:00Z</dcterms:created>
  <dc:creator>微软用户</dc:creator>
  <cp:lastModifiedBy>Lenovo</cp:lastModifiedBy>
  <cp:lastPrinted>2023-04-13T01:04:57Z</cp:lastPrinted>
  <dcterms:modified xsi:type="dcterms:W3CDTF">2023-04-13T02:50:28Z</dcterms:modified>
  <cp:revision>418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303E62E005E2425EA4BD752D70BA622A_12</vt:lpwstr>
  </property>
</Properties>
</file>