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方正小标宋简体" w:eastAsia="方正小标宋简体" w:cs="Times New Roman"/>
        </w:rPr>
      </w:pPr>
    </w:p>
    <w:p>
      <w:pPr>
        <w:jc w:val="center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方正小标宋_GBK" w:hAnsi="仿宋" w:eastAsia="方正小标宋_GBK" w:cs="方正小标宋_GBK"/>
          <w:sz w:val="36"/>
          <w:szCs w:val="36"/>
          <w:lang w:val="en-US" w:eastAsia="zh-CN"/>
        </w:rPr>
        <w:t>2021</w:t>
      </w:r>
      <w:r>
        <w:rPr>
          <w:rFonts w:hint="eastAsia" w:ascii="方正小标宋_GBK" w:hAnsi="仿宋" w:eastAsia="方正小标宋_GBK" w:cs="方正小标宋_GBK"/>
          <w:sz w:val="36"/>
          <w:szCs w:val="36"/>
        </w:rPr>
        <w:t>年度</w:t>
      </w:r>
      <w:r>
        <w:rPr>
          <w:rFonts w:hint="eastAsia" w:ascii="方正小标宋_GBK" w:hAnsi="仿宋" w:eastAsia="方正小标宋_GBK" w:cs="方正小标宋_GBK"/>
          <w:sz w:val="36"/>
          <w:szCs w:val="36"/>
          <w:lang w:eastAsia="zh-CN"/>
        </w:rPr>
        <w:t>市科协</w:t>
      </w:r>
      <w:r>
        <w:rPr>
          <w:rFonts w:hint="eastAsia" w:ascii="方正小标宋_GBK" w:hAnsi="仿宋" w:eastAsia="方正小标宋_GBK" w:cs="方正小标宋_GBK"/>
          <w:sz w:val="36"/>
          <w:szCs w:val="36"/>
        </w:rPr>
        <w:t>部门整体绩效自评结果</w:t>
      </w: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一、自评结论</w:t>
      </w:r>
    </w:p>
    <w:p>
      <w:pPr>
        <w:ind w:firstLine="640" w:firstLineChars="200"/>
        <w:rPr>
          <w:rFonts w:hint="eastAsia" w:ascii="楷体_GB2312" w:hAnsi="楷体" w:eastAsia="楷体_GB2312" w:cs="楷体_GB2312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（一）部门整体绩效自评得分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2021年度本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部门整体绩效自评得分为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93分。</w:t>
      </w:r>
    </w:p>
    <w:p>
      <w:pPr>
        <w:ind w:firstLine="640" w:firstLineChars="200"/>
        <w:rPr>
          <w:rFonts w:ascii="楷体_GB2312" w:hAnsi="楷体" w:eastAsia="楷体_GB2312" w:cs="Times New Roman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（二）部门整体绩效目标完成情况</w:t>
      </w:r>
    </w:p>
    <w:p>
      <w:p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执行率情况。</w:t>
      </w:r>
    </w:p>
    <w:p>
      <w:pPr>
        <w:ind w:firstLine="640" w:firstLineChars="200"/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2021年市科协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部门整体支出总额调整预算数为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2634.17万元，执行数为3014.42万元，其中基本支出总额为990.69万元，项目支出总额为2023.73万元，执行率达114.44%。执行数大于调整预算数，主要原因一是政府性基金财政拨款支出376万元；二是省科协拨付往来资金支出4.25万元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完成的绩效目标。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本部门基本支出预算数为990.69万元，基本支出实际支出为990.69万元，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主要为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本部门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在职人员的工资、社保、奖金、津贴、补贴及公积金和退休人员的补贴，机构正常运转所发生的办公费、水电费、差旅费、培训费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、公车维护费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及公务接待费等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本部门项目支出预算数为1643.48万元，项目支出实际支出为2023.73万元，主要为：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科协、科普事业发展项目、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青年科技英才开发计划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项目、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院士专家工作站评选及建设工作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项目、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襄阳市智慧科协建设项目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、2021年基层科普能力建设转移支付资金、汽车文化项目、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科技馆综合业务工作经费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免费开放项目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、国有资产出租房屋维修经费、院士专家工作站建设管理项目。其中汽车文化项目为政府性基金财政拨款收入。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主要</w:t>
      </w:r>
      <w:r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  <w:t>项目具体执行情况如下：</w:t>
      </w:r>
    </w:p>
    <w:p>
      <w:pPr>
        <w:numPr>
          <w:ilvl w:val="0"/>
          <w:numId w:val="0"/>
        </w:numPr>
        <w:ind w:firstLine="6720" w:firstLineChars="2800"/>
        <w:rPr>
          <w:rFonts w:hint="default" w:ascii="仿宋_GB2312" w:hAnsi="仿宋" w:eastAsia="仿宋_GB2312" w:cs="仿宋_GB2312"/>
          <w:sz w:val="24"/>
          <w:szCs w:val="24"/>
          <w:lang w:val="en-US" w:eastAsia="zh-CN"/>
        </w:rPr>
      </w:pPr>
      <w:r>
        <w:rPr>
          <w:rFonts w:hint="default" w:ascii="仿宋_GB2312" w:hAnsi="仿宋" w:eastAsia="仿宋_GB2312" w:cs="仿宋_GB2312"/>
          <w:sz w:val="24"/>
          <w:szCs w:val="24"/>
          <w:lang w:val="en-US" w:eastAsia="zh-CN"/>
        </w:rPr>
        <w:t>（单位：万元）</w:t>
      </w:r>
    </w:p>
    <w:tbl>
      <w:tblPr>
        <w:tblStyle w:val="24"/>
        <w:tblW w:w="8428" w:type="dxa"/>
        <w:tblInd w:w="94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3"/>
        <w:gridCol w:w="1406"/>
        <w:gridCol w:w="1554"/>
        <w:gridCol w:w="1146"/>
        <w:gridCol w:w="173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ind w:firstLine="960" w:firstLineChars="400"/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调整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预算数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账面支出数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执行率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科协、科普事业发展项目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372.26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372.26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青年科技英才开发计划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院士专家工作站评选及建设工作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襄阳市智慧科协建设项目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68.8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68.8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2021年基层科普能力建设转移支付资金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汽车文化项目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376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376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科技馆综合业务工作经费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免费开放项目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698.63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698.63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国有资产出租房屋维修经费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58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院士专家工作站建设管理项目</w:t>
            </w: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51.3</w:t>
            </w:r>
          </w:p>
        </w:tc>
        <w:tc>
          <w:tcPr>
            <w:tcW w:w="1554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51.3</w:t>
            </w:r>
          </w:p>
        </w:tc>
        <w:tc>
          <w:tcPr>
            <w:tcW w:w="11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100.00%</w:t>
            </w:r>
          </w:p>
        </w:tc>
        <w:tc>
          <w:tcPr>
            <w:tcW w:w="173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非基建类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</w:tr>
    </w:tbl>
    <w:p>
      <w:pPr>
        <w:pStyle w:val="2"/>
        <w:numPr>
          <w:ilvl w:val="0"/>
          <w:numId w:val="0"/>
        </w:numPr>
      </w:pP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未完成的绩效目标。</w:t>
      </w:r>
    </w:p>
    <w:p>
      <w:pPr>
        <w:numPr>
          <w:ilvl w:val="0"/>
          <w:numId w:val="0"/>
        </w:numPr>
        <w:ind w:firstLine="640" w:firstLineChars="200"/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2021年市科协部门预算项目绩效目标全部完成。</w:t>
      </w:r>
    </w:p>
    <w:p>
      <w:pPr>
        <w:ind w:firstLine="640" w:firstLineChars="200"/>
        <w:rPr>
          <w:rFonts w:ascii="楷体_GB2312" w:hAnsi="楷体" w:eastAsia="楷体_GB2312" w:cs="Times New Roman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（三）存在的问题和原因</w:t>
      </w:r>
    </w:p>
    <w:p>
      <w:pPr>
        <w:ind w:firstLine="640" w:firstLineChars="200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通过上年度</w:t>
      </w:r>
      <w:r>
        <w:rPr>
          <w:rFonts w:hint="eastAsia" w:ascii="仿宋_GB2312" w:eastAsia="仿宋_GB2312" w:cs="仿宋_GB2312"/>
          <w:sz w:val="32"/>
          <w:szCs w:val="32"/>
        </w:rPr>
        <w:t>加强绩效运行监管，强化绩效目标质量管理。把绩效目标作为项目实施的前提条件，合理制定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eastAsia="仿宋_GB2312" w:cs="仿宋_GB2312"/>
          <w:sz w:val="32"/>
          <w:szCs w:val="32"/>
        </w:rPr>
        <w:t>项目质量绩效目标、质量管理办法及验收措施，提高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eastAsia="仿宋_GB2312" w:cs="仿宋_GB2312"/>
          <w:sz w:val="32"/>
          <w:szCs w:val="32"/>
        </w:rPr>
        <w:t>资金使用的效果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。本年度绩效存在的问题主要是部分项目支出未按照原定预算进行，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主要原因是因工作开展实际情况有细微调整。</w:t>
      </w:r>
    </w:p>
    <w:p>
      <w:pPr>
        <w:ind w:firstLine="640" w:firstLineChars="200"/>
        <w:rPr>
          <w:rFonts w:ascii="楷体_GB2312" w:hAnsi="楷体" w:eastAsia="楷体_GB2312" w:cs="Times New Roman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（四）下一步拟改进措施</w:t>
      </w:r>
    </w:p>
    <w:p>
      <w:p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下一步拟改进措施。</w:t>
      </w:r>
    </w:p>
    <w:p>
      <w:pPr>
        <w:ind w:firstLine="640" w:firstLineChars="200"/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按照相关规定，参考上一年的绩效执行情况和效果科学编制绩效申报表。</w:t>
      </w:r>
      <w:r>
        <w:rPr>
          <w:rFonts w:hint="eastAsia" w:ascii="仿宋_GB2312" w:eastAsia="仿宋_GB2312" w:cs="仿宋_GB2312"/>
          <w:sz w:val="32"/>
          <w:szCs w:val="32"/>
        </w:rPr>
        <w:t>加强财务核算管理，各项目支出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严格</w:t>
      </w:r>
      <w:r>
        <w:rPr>
          <w:rFonts w:hint="eastAsia" w:ascii="仿宋_GB2312" w:eastAsia="仿宋_GB2312" w:cs="仿宋_GB2312"/>
          <w:sz w:val="32"/>
          <w:szCs w:val="32"/>
        </w:rPr>
        <w:t>按项目进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行</w:t>
      </w:r>
      <w:r>
        <w:rPr>
          <w:rFonts w:hint="eastAsia" w:ascii="仿宋_GB2312" w:eastAsia="仿宋_GB2312" w:cs="仿宋_GB2312"/>
          <w:sz w:val="32"/>
          <w:szCs w:val="32"/>
        </w:rPr>
        <w:t>专项核算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拟与预算安排相结合情况。</w:t>
      </w:r>
    </w:p>
    <w:p>
      <w:pPr>
        <w:ind w:firstLine="640" w:firstLineChars="200"/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加强预算管理。推行“无预算不支出”的资金支出原则，按照各部室上报-财务部门汇总统筹-集体研究确定的程序进一步强化预算管理，加强项目支出范围及额度确定的科学性。加强预算执行管理，严格按照批复预算开展项目实施，强化预算执行监督，提高预算执行成效。</w:t>
      </w:r>
      <w:r>
        <w:rPr>
          <w:rFonts w:hint="eastAsia" w:ascii="仿宋_GB2312" w:eastAsia="仿宋_GB2312" w:cs="仿宋_GB2312"/>
          <w:sz w:val="32"/>
          <w:szCs w:val="32"/>
        </w:rPr>
        <w:t>坚持专款专用，各项目进行专项核算，资金的支付有完整的审批程序和手续。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另一方面是强化例会制度，每月底按照预算执行路径逐项销号、核对，确保预算执行效率及效果。本年度将继续加强绩效管理，通过绩效找出工作中的问题，推进发展。</w:t>
      </w:r>
    </w:p>
    <w:p>
      <w:pPr>
        <w:ind w:firstLine="640" w:firstLineChars="200"/>
        <w:rPr>
          <w:rFonts w:hint="eastAsia" w:ascii="楷体_GB2312" w:hAnsi="楷体" w:eastAsia="楷体_GB2312" w:cs="楷体_GB2312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附件：</w:t>
      </w:r>
      <w:r>
        <w:rPr>
          <w:rFonts w:hint="eastAsia" w:ascii="楷体_GB2312" w:hAnsi="楷体" w:eastAsia="楷体_GB2312" w:cs="楷体_GB2312"/>
          <w:sz w:val="32"/>
          <w:szCs w:val="32"/>
          <w:lang w:val="en-US" w:eastAsia="zh-CN"/>
        </w:rPr>
        <w:t>2021</w:t>
      </w:r>
      <w:r>
        <w:rPr>
          <w:rFonts w:hint="eastAsia" w:ascii="楷体_GB2312" w:hAnsi="楷体" w:eastAsia="楷体_GB2312" w:cs="楷体_GB2312"/>
          <w:sz w:val="32"/>
          <w:szCs w:val="32"/>
        </w:rPr>
        <w:t>年度</w:t>
      </w:r>
      <w:r>
        <w:rPr>
          <w:rFonts w:hint="eastAsia" w:ascii="楷体_GB2312" w:hAnsi="楷体" w:eastAsia="楷体_GB2312" w:cs="楷体_GB2312"/>
          <w:sz w:val="32"/>
          <w:szCs w:val="32"/>
          <w:lang w:eastAsia="zh-CN"/>
        </w:rPr>
        <w:t>市科协</w:t>
      </w:r>
      <w:r>
        <w:rPr>
          <w:rFonts w:hint="eastAsia" w:ascii="楷体_GB2312" w:hAnsi="楷体" w:eastAsia="楷体_GB2312" w:cs="楷体_GB2312"/>
          <w:sz w:val="32"/>
          <w:szCs w:val="32"/>
        </w:rPr>
        <w:t>部门整体</w:t>
      </w:r>
      <w:r>
        <w:rPr>
          <w:rFonts w:hint="eastAsia" w:ascii="楷体_GB2312" w:hAnsi="楷体" w:eastAsia="楷体_GB2312" w:cs="楷体_GB2312"/>
          <w:sz w:val="32"/>
          <w:szCs w:val="32"/>
          <w:lang w:eastAsia="zh-CN"/>
        </w:rPr>
        <w:t>绩效</w:t>
      </w:r>
      <w:r>
        <w:rPr>
          <w:rFonts w:hint="eastAsia" w:ascii="楷体_GB2312" w:hAnsi="楷体" w:eastAsia="楷体_GB2312" w:cs="楷体_GB2312"/>
          <w:sz w:val="32"/>
          <w:szCs w:val="32"/>
        </w:rPr>
        <w:t>自评表</w:t>
      </w:r>
    </w:p>
    <w:p>
      <w:pPr>
        <w:pStyle w:val="2"/>
        <w:rPr>
          <w:rFonts w:hint="eastAsia" w:ascii="楷体_GB2312" w:hAnsi="楷体" w:eastAsia="楷体_GB2312" w:cs="楷体_GB2312"/>
          <w:sz w:val="32"/>
          <w:szCs w:val="32"/>
        </w:rPr>
      </w:pPr>
    </w:p>
    <w:p>
      <w:pPr>
        <w:pStyle w:val="2"/>
        <w:jc w:val="right"/>
        <w:rPr>
          <w:rFonts w:hint="eastAsia" w:ascii="楷体_GB2312" w:hAnsi="楷体" w:eastAsia="楷体_GB2312" w:cs="楷体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 w:firstLine="360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418D4B"/>
    <w:multiLevelType w:val="singleLevel"/>
    <w:tmpl w:val="62418D4B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62426381"/>
    <w:multiLevelType w:val="singleLevel"/>
    <w:tmpl w:val="62426381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C7BFE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3FB0DF4"/>
    <w:rsid w:val="0C4E5E32"/>
    <w:rsid w:val="0FF21991"/>
    <w:rsid w:val="1183057E"/>
    <w:rsid w:val="14DA117E"/>
    <w:rsid w:val="26B75631"/>
    <w:rsid w:val="294D3BB6"/>
    <w:rsid w:val="29A80723"/>
    <w:rsid w:val="2C076F19"/>
    <w:rsid w:val="2F5B480D"/>
    <w:rsid w:val="350F7EFE"/>
    <w:rsid w:val="368B5E0E"/>
    <w:rsid w:val="39273355"/>
    <w:rsid w:val="3AC702FC"/>
    <w:rsid w:val="3B1A7CB2"/>
    <w:rsid w:val="3B6C47FF"/>
    <w:rsid w:val="450B69D1"/>
    <w:rsid w:val="497A5F98"/>
    <w:rsid w:val="49D246CF"/>
    <w:rsid w:val="4F9D030E"/>
    <w:rsid w:val="55AF2676"/>
    <w:rsid w:val="57B81486"/>
    <w:rsid w:val="58FD37D0"/>
    <w:rsid w:val="59394A74"/>
    <w:rsid w:val="5B1E01CB"/>
    <w:rsid w:val="5BCD5926"/>
    <w:rsid w:val="5BE62C0B"/>
    <w:rsid w:val="5D26081F"/>
    <w:rsid w:val="5F6F16D0"/>
    <w:rsid w:val="64001E94"/>
    <w:rsid w:val="68F26638"/>
    <w:rsid w:val="6A155836"/>
    <w:rsid w:val="6BC849C4"/>
    <w:rsid w:val="6F5E4911"/>
    <w:rsid w:val="6FCF2FC1"/>
    <w:rsid w:val="71BD4680"/>
    <w:rsid w:val="723A6C34"/>
    <w:rsid w:val="7334084B"/>
    <w:rsid w:val="7B317800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25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6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5">
    <w:name w:val="heading 3"/>
    <w:basedOn w:val="1"/>
    <w:next w:val="1"/>
    <w:link w:val="27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6">
    <w:name w:val="heading 4"/>
    <w:basedOn w:val="1"/>
    <w:next w:val="1"/>
    <w:link w:val="28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8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7">
    <w:name w:val="annotation subject"/>
    <w:basedOn w:val="8"/>
    <w:next w:val="8"/>
    <w:link w:val="36"/>
    <w:semiHidden/>
    <w:qFormat/>
    <w:uiPriority w:val="99"/>
    <w:rPr>
      <w:b/>
      <w:bCs/>
    </w:rPr>
  </w:style>
  <w:style w:type="paragraph" w:styleId="8">
    <w:name w:val="annotation text"/>
    <w:basedOn w:val="1"/>
    <w:link w:val="29"/>
    <w:unhideWhenUsed/>
    <w:qFormat/>
    <w:uiPriority w:val="99"/>
    <w:pPr>
      <w:jc w:val="left"/>
    </w:pPr>
  </w:style>
  <w:style w:type="paragraph" w:styleId="9">
    <w:name w:val="toa heading"/>
    <w:basedOn w:val="1"/>
    <w:next w:val="1"/>
    <w:unhideWhenUsed/>
    <w:qFormat/>
    <w:uiPriority w:val="99"/>
    <w:pPr>
      <w:spacing w:before="120"/>
    </w:pPr>
    <w:rPr>
      <w:rFonts w:ascii="Calibri Light" w:hAnsi="Calibri Light" w:cs="Times New Roman"/>
      <w:sz w:val="24"/>
      <w:szCs w:val="24"/>
    </w:rPr>
  </w:style>
  <w:style w:type="paragraph" w:styleId="10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1">
    <w:name w:val="Date"/>
    <w:basedOn w:val="1"/>
    <w:next w:val="1"/>
    <w:link w:val="37"/>
    <w:semiHidden/>
    <w:qFormat/>
    <w:uiPriority w:val="99"/>
    <w:pPr>
      <w:ind w:left="100" w:leftChars="2500"/>
    </w:pPr>
  </w:style>
  <w:style w:type="paragraph" w:styleId="12">
    <w:name w:val="Balloon Text"/>
    <w:basedOn w:val="1"/>
    <w:link w:val="38"/>
    <w:semiHidden/>
    <w:qFormat/>
    <w:uiPriority w:val="99"/>
    <w:rPr>
      <w:sz w:val="18"/>
      <w:szCs w:val="18"/>
    </w:rPr>
  </w:style>
  <w:style w:type="paragraph" w:styleId="13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6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9">
    <w:name w:val="Strong"/>
    <w:qFormat/>
    <w:uiPriority w:val="22"/>
    <w:rPr>
      <w:b/>
      <w:bCs/>
    </w:rPr>
  </w:style>
  <w:style w:type="character" w:styleId="20">
    <w:name w:val="page number"/>
    <w:basedOn w:val="18"/>
    <w:qFormat/>
    <w:uiPriority w:val="99"/>
  </w:style>
  <w:style w:type="character" w:styleId="21">
    <w:name w:val="FollowedHyperlink"/>
    <w:semiHidden/>
    <w:qFormat/>
    <w:uiPriority w:val="99"/>
    <w:rPr>
      <w:color w:val="800080"/>
      <w:u w:val="single"/>
    </w:rPr>
  </w:style>
  <w:style w:type="character" w:styleId="22">
    <w:name w:val="Hyperlink"/>
    <w:qFormat/>
    <w:uiPriority w:val="99"/>
    <w:rPr>
      <w:color w:val="0000FF"/>
      <w:u w:val="single"/>
    </w:rPr>
  </w:style>
  <w:style w:type="character" w:styleId="23">
    <w:name w:val="annotation reference"/>
    <w:unhideWhenUsed/>
    <w:qFormat/>
    <w:uiPriority w:val="99"/>
    <w:rPr>
      <w:sz w:val="21"/>
      <w:szCs w:val="21"/>
    </w:rPr>
  </w:style>
  <w:style w:type="character" w:customStyle="1" w:styleId="25">
    <w:name w:val="标题 1 Char"/>
    <w:link w:val="3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6">
    <w:name w:val="标题 2 Char"/>
    <w:link w:val="4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7">
    <w:name w:val="标题 3 Char"/>
    <w:link w:val="5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8">
    <w:name w:val="标题 4 Char"/>
    <w:link w:val="6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9">
    <w:name w:val="批注文字 Char"/>
    <w:link w:val="8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30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31">
    <w:name w:val="List Paragraph"/>
    <w:basedOn w:val="1"/>
    <w:qFormat/>
    <w:uiPriority w:val="99"/>
    <w:pPr>
      <w:ind w:firstLine="420"/>
    </w:pPr>
  </w:style>
  <w:style w:type="paragraph" w:customStyle="1" w:styleId="32">
    <w:name w:val="TOC Heading"/>
    <w:basedOn w:val="3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3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4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5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6">
    <w:name w:val="批注主题 Char"/>
    <w:basedOn w:val="29"/>
    <w:link w:val="7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7">
    <w:name w:val="日期 Char"/>
    <w:basedOn w:val="18"/>
    <w:link w:val="11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8">
    <w:name w:val="批注框文本 Char"/>
    <w:basedOn w:val="18"/>
    <w:link w:val="12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9">
    <w:name w:val="页脚 Char"/>
    <w:basedOn w:val="18"/>
    <w:link w:val="13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40">
    <w:name w:val="页眉 Char"/>
    <w:basedOn w:val="18"/>
    <w:link w:val="14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41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7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9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0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1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2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6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7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8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9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2020-08-12T17:04:00Z</dcterms:created>
  <dc:creator>微软用户</dc:creator>
  <cp:lastModifiedBy>科协陈刚</cp:lastModifiedBy>
  <cp:lastPrinted>2021-03-17T17:42:00Z</cp:lastPrinted>
  <dcterms:modified xsi:type="dcterms:W3CDTF">2022-03-31T02:02:45Z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